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FE4" w:rsidRDefault="00633FE4" w:rsidP="00633FE4">
      <w:pPr>
        <w:jc w:val="center"/>
      </w:pPr>
    </w:p>
    <w:p w:rsidR="00633FE4" w:rsidRDefault="00633FE4" w:rsidP="00633FE4">
      <w:pPr>
        <w:jc w:val="center"/>
      </w:pPr>
    </w:p>
    <w:p w:rsidR="00633FE4" w:rsidRDefault="00633FE4" w:rsidP="00633FE4">
      <w:pPr>
        <w:jc w:val="center"/>
      </w:pPr>
    </w:p>
    <w:p w:rsidR="00633FE4" w:rsidRDefault="00633FE4" w:rsidP="00633FE4">
      <w:pPr>
        <w:jc w:val="center"/>
      </w:pPr>
    </w:p>
    <w:p w:rsidR="00633FE4" w:rsidRDefault="00633FE4" w:rsidP="00633FE4">
      <w:pPr>
        <w:jc w:val="center"/>
      </w:pPr>
    </w:p>
    <w:p w:rsidR="00633FE4" w:rsidRDefault="00633FE4" w:rsidP="00633FE4">
      <w:pPr>
        <w:jc w:val="center"/>
      </w:pPr>
    </w:p>
    <w:p w:rsidR="00633FE4" w:rsidRDefault="00633FE4" w:rsidP="00633FE4">
      <w:pPr>
        <w:jc w:val="center"/>
      </w:pPr>
    </w:p>
    <w:p w:rsidR="00633FE4" w:rsidRDefault="00633FE4" w:rsidP="00633FE4">
      <w:pPr>
        <w:jc w:val="center"/>
      </w:pPr>
    </w:p>
    <w:p w:rsidR="00633FE4" w:rsidRDefault="00633FE4" w:rsidP="00633FE4">
      <w:pPr>
        <w:jc w:val="center"/>
      </w:pPr>
    </w:p>
    <w:p w:rsidR="00633FE4" w:rsidRDefault="00633FE4" w:rsidP="00633FE4">
      <w:pPr>
        <w:jc w:val="center"/>
      </w:pPr>
    </w:p>
    <w:p w:rsidR="00633FE4" w:rsidRPr="002E5EFC" w:rsidRDefault="00633FE4" w:rsidP="00633FE4">
      <w:pPr>
        <w:jc w:val="center"/>
      </w:pPr>
    </w:p>
    <w:p w:rsidR="00633FE4" w:rsidRPr="00633FE4" w:rsidRDefault="00633FE4" w:rsidP="00633FE4">
      <w:pPr>
        <w:jc w:val="center"/>
        <w:rPr>
          <w:sz w:val="56"/>
        </w:rPr>
      </w:pPr>
      <w:r w:rsidRPr="00633FE4">
        <w:rPr>
          <w:sz w:val="36"/>
        </w:rPr>
        <w:t>SZCZEGÓŁOWE SPECYFIKACJE TECHNICZNE</w:t>
      </w:r>
    </w:p>
    <w:p w:rsidR="00633FE4" w:rsidRDefault="00633FE4" w:rsidP="00633FE4">
      <w:pPr>
        <w:jc w:val="center"/>
      </w:pPr>
    </w:p>
    <w:p w:rsidR="00633FE4" w:rsidRDefault="00633FE4" w:rsidP="00633FE4">
      <w:pPr>
        <w:jc w:val="center"/>
      </w:pPr>
    </w:p>
    <w:p w:rsidR="00633FE4" w:rsidRDefault="00633FE4" w:rsidP="00633FE4">
      <w:pPr>
        <w:jc w:val="center"/>
      </w:pPr>
    </w:p>
    <w:p w:rsidR="00633FE4" w:rsidRDefault="00633FE4" w:rsidP="00633FE4">
      <w:pPr>
        <w:jc w:val="center"/>
      </w:pPr>
    </w:p>
    <w:p w:rsidR="00633FE4" w:rsidRDefault="00633FE4" w:rsidP="00633FE4">
      <w:pPr>
        <w:jc w:val="center"/>
      </w:pPr>
    </w:p>
    <w:p w:rsidR="002E5EFC" w:rsidRPr="00633FE4" w:rsidRDefault="004B5428" w:rsidP="00C17A70">
      <w:pPr>
        <w:jc w:val="center"/>
        <w:rPr>
          <w:b/>
          <w:sz w:val="28"/>
        </w:rPr>
      </w:pPr>
      <w:r w:rsidRPr="00633FE4">
        <w:rPr>
          <w:b/>
          <w:sz w:val="28"/>
        </w:rPr>
        <w:t>D</w:t>
      </w:r>
      <w:r w:rsidR="00FC4F01" w:rsidRPr="00633FE4">
        <w:rPr>
          <w:b/>
          <w:sz w:val="28"/>
        </w:rPr>
        <w:t xml:space="preserve"> </w:t>
      </w:r>
      <w:r w:rsidRPr="00633FE4">
        <w:rPr>
          <w:b/>
          <w:sz w:val="28"/>
        </w:rPr>
        <w:t>-</w:t>
      </w:r>
      <w:r w:rsidR="00FC4F01" w:rsidRPr="00633FE4">
        <w:rPr>
          <w:b/>
          <w:sz w:val="28"/>
        </w:rPr>
        <w:t xml:space="preserve"> </w:t>
      </w:r>
      <w:r w:rsidRPr="00633FE4">
        <w:rPr>
          <w:b/>
          <w:sz w:val="28"/>
        </w:rPr>
        <w:t>0</w:t>
      </w:r>
      <w:r w:rsidR="00666F69">
        <w:rPr>
          <w:b/>
          <w:sz w:val="28"/>
        </w:rPr>
        <w:t>7</w:t>
      </w:r>
      <w:r w:rsidRPr="00633FE4">
        <w:rPr>
          <w:b/>
          <w:sz w:val="28"/>
        </w:rPr>
        <w:t>.0</w:t>
      </w:r>
      <w:r w:rsidR="00043540">
        <w:rPr>
          <w:b/>
          <w:sz w:val="28"/>
        </w:rPr>
        <w:t>7</w:t>
      </w:r>
      <w:r w:rsidRPr="00633FE4">
        <w:rPr>
          <w:b/>
          <w:sz w:val="28"/>
        </w:rPr>
        <w:t>.0</w:t>
      </w:r>
      <w:r w:rsidR="00666F69">
        <w:rPr>
          <w:b/>
          <w:sz w:val="28"/>
        </w:rPr>
        <w:t>1</w:t>
      </w:r>
    </w:p>
    <w:p w:rsidR="004B5428" w:rsidRPr="00633FE4" w:rsidRDefault="00043540" w:rsidP="00C17A70">
      <w:pPr>
        <w:jc w:val="center"/>
        <w:rPr>
          <w:b/>
          <w:sz w:val="28"/>
        </w:rPr>
      </w:pPr>
      <w:r>
        <w:rPr>
          <w:b/>
          <w:sz w:val="28"/>
        </w:rPr>
        <w:t>OŚWIETLENIE ULICZNE</w:t>
      </w:r>
    </w:p>
    <w:p w:rsidR="002E5EFC" w:rsidRDefault="002E5EFC" w:rsidP="00C17A70"/>
    <w:p w:rsidR="007B3B52" w:rsidRDefault="002E5EFC" w:rsidP="002E650F">
      <w:pPr>
        <w:pStyle w:val="Nagwek1"/>
      </w:pPr>
      <w:r>
        <w:br w:type="page"/>
      </w:r>
      <w:r w:rsidR="007B3B52">
        <w:lastRenderedPageBreak/>
        <w:t>WSTĘP</w:t>
      </w:r>
    </w:p>
    <w:p w:rsidR="007B3B52" w:rsidRDefault="007B3B52" w:rsidP="004D4A4B">
      <w:pPr>
        <w:pStyle w:val="Nagwek2"/>
      </w:pPr>
      <w:r>
        <w:t>Przedmiot</w:t>
      </w:r>
      <w:r>
        <w:rPr>
          <w:spacing w:val="-3"/>
        </w:rPr>
        <w:t xml:space="preserve"> </w:t>
      </w:r>
      <w:r>
        <w:t>S</w:t>
      </w:r>
      <w:r w:rsidR="002E650F">
        <w:t>S</w:t>
      </w:r>
      <w:r>
        <w:t>T.</w:t>
      </w:r>
    </w:p>
    <w:p w:rsidR="007B3B52" w:rsidRPr="00805B52" w:rsidRDefault="002E650F" w:rsidP="007B3B52">
      <w:r w:rsidRPr="00805B52">
        <w:tab/>
      </w:r>
      <w:r w:rsidR="007B3B52" w:rsidRPr="00805B52">
        <w:t xml:space="preserve">Przedmiotem niniejszej </w:t>
      </w:r>
      <w:r w:rsidR="00B40A43" w:rsidRPr="00805B52">
        <w:t>s</w:t>
      </w:r>
      <w:r w:rsidRPr="00805B52">
        <w:t xml:space="preserve">zczegółowej </w:t>
      </w:r>
      <w:r w:rsidR="00B40A43" w:rsidRPr="00805B52">
        <w:t>s</w:t>
      </w:r>
      <w:r w:rsidR="007B3B52" w:rsidRPr="00805B52">
        <w:t xml:space="preserve">pecyfikacji </w:t>
      </w:r>
      <w:r w:rsidR="00B40A43" w:rsidRPr="00805B52">
        <w:t>t</w:t>
      </w:r>
      <w:r w:rsidR="007B3B52" w:rsidRPr="00805B52">
        <w:t>echnicznej (S</w:t>
      </w:r>
      <w:r w:rsidRPr="00805B52">
        <w:t>S</w:t>
      </w:r>
      <w:r w:rsidR="007B3B52" w:rsidRPr="00805B52">
        <w:t xml:space="preserve">T) są wymagania techniczne dotyczące wykonania i odbioru robót </w:t>
      </w:r>
      <w:r w:rsidRPr="00805B52">
        <w:t xml:space="preserve">związanych z </w:t>
      </w:r>
      <w:r w:rsidR="008D08AD" w:rsidRPr="00805B52">
        <w:t xml:space="preserve">wykonaniem </w:t>
      </w:r>
      <w:r w:rsidR="00043540">
        <w:t>oświetlenia drogowego</w:t>
      </w:r>
      <w:r w:rsidR="00A91A0B">
        <w:t xml:space="preserve"> dla zadania: „</w:t>
      </w:r>
      <w:r w:rsidR="00A91A0B" w:rsidRPr="00D36794">
        <w:rPr>
          <w:szCs w:val="20"/>
        </w:rPr>
        <w:t>Budowa ścieżki rowerowej wzdłuż drogi wojewódzkiej nr 272 na odcinku Dolna Grupa-Grupa</w:t>
      </w:r>
      <w:r w:rsidR="000F408B">
        <w:t>”.</w:t>
      </w:r>
    </w:p>
    <w:p w:rsidR="007B3B52" w:rsidRDefault="007B3B52" w:rsidP="004D4A4B">
      <w:pPr>
        <w:pStyle w:val="Nagwek2"/>
      </w:pPr>
      <w:r>
        <w:t>Zakres stosowania</w:t>
      </w:r>
      <w:r>
        <w:rPr>
          <w:spacing w:val="1"/>
        </w:rPr>
        <w:t xml:space="preserve"> </w:t>
      </w:r>
      <w:r>
        <w:t>S</w:t>
      </w:r>
      <w:r w:rsidR="002E650F">
        <w:t>S</w:t>
      </w:r>
      <w:r>
        <w:t>T</w:t>
      </w:r>
    </w:p>
    <w:p w:rsidR="00505D13" w:rsidRPr="00805B52" w:rsidRDefault="00505D13" w:rsidP="00505D13">
      <w:r w:rsidRPr="00805B52">
        <w:tab/>
        <w:t>Szczegółowa specyfikacja techniczna stanowi dokument przetargowy i kontraktowy przy zlecaniu i realizacji robót w ramach zadania wymienionego w punkcie 1.1.</w:t>
      </w:r>
    </w:p>
    <w:p w:rsidR="007B3B52" w:rsidRDefault="007B3B52" w:rsidP="004D4A4B">
      <w:pPr>
        <w:pStyle w:val="Nagwek2"/>
      </w:pPr>
      <w:r>
        <w:t>Zakres robót objętych</w:t>
      </w:r>
      <w:r>
        <w:rPr>
          <w:spacing w:val="-4"/>
        </w:rPr>
        <w:t xml:space="preserve"> </w:t>
      </w:r>
      <w:r w:rsidR="002E650F">
        <w:rPr>
          <w:spacing w:val="-4"/>
        </w:rPr>
        <w:t>S</w:t>
      </w:r>
      <w:r>
        <w:t>ST</w:t>
      </w:r>
    </w:p>
    <w:p w:rsidR="00EF35C4" w:rsidRDefault="002E650F" w:rsidP="00043540">
      <w:r w:rsidRPr="00805B52">
        <w:tab/>
      </w:r>
      <w:r w:rsidR="007B3B52" w:rsidRPr="00805B52">
        <w:t xml:space="preserve">Ustalenia zawarte w niniejszej </w:t>
      </w:r>
      <w:r w:rsidR="00B40A43" w:rsidRPr="00805B52">
        <w:t>s</w:t>
      </w:r>
      <w:r w:rsidRPr="00805B52">
        <w:t>pecyfikacji</w:t>
      </w:r>
      <w:r w:rsidR="007B3B52" w:rsidRPr="00805B52">
        <w:t xml:space="preserve"> dotyczą </w:t>
      </w:r>
      <w:r w:rsidR="00DE0724" w:rsidRPr="00805B52">
        <w:t>zasad prowadzenia robót związanych z</w:t>
      </w:r>
      <w:r w:rsidR="00315FE6" w:rsidRPr="00805B52">
        <w:t> </w:t>
      </w:r>
      <w:r w:rsidR="00DE0724" w:rsidRPr="00805B52">
        <w:t xml:space="preserve">wykonaniem </w:t>
      </w:r>
      <w:r w:rsidR="0065729C">
        <w:t>i </w:t>
      </w:r>
      <w:r w:rsidR="00433A61" w:rsidRPr="00805B52">
        <w:t xml:space="preserve">odbiorem </w:t>
      </w:r>
      <w:r w:rsidR="00043540">
        <w:t>oświetlenia drogowego</w:t>
      </w:r>
      <w:r w:rsidR="00433A61" w:rsidRPr="00805B52">
        <w:t xml:space="preserve"> </w:t>
      </w:r>
      <w:r w:rsidR="00043540">
        <w:t>zastosowanego do oświetlenia przejścia dla pieszych</w:t>
      </w:r>
      <w:r w:rsidR="00EF35C4">
        <w:t>, i obejmuje:</w:t>
      </w:r>
    </w:p>
    <w:p w:rsidR="00EF35C4" w:rsidRDefault="00EF35C4" w:rsidP="00BC27C5">
      <w:pPr>
        <w:pStyle w:val="Akapitzlist"/>
        <w:numPr>
          <w:ilvl w:val="0"/>
          <w:numId w:val="2"/>
        </w:numPr>
      </w:pPr>
      <w:r>
        <w:t>posadowienie fundamentów i skrzynki na akumulatory,</w:t>
      </w:r>
    </w:p>
    <w:p w:rsidR="00EF35C4" w:rsidRDefault="00EF35C4" w:rsidP="00BC27C5">
      <w:pPr>
        <w:pStyle w:val="Akapitzlist"/>
        <w:numPr>
          <w:ilvl w:val="0"/>
          <w:numId w:val="2"/>
        </w:numPr>
      </w:pPr>
      <w:r>
        <w:t>montaż słupów wraz z elementami systemu hybrydowego,</w:t>
      </w:r>
    </w:p>
    <w:p w:rsidR="00433A61" w:rsidRDefault="00EF35C4" w:rsidP="00BC27C5">
      <w:pPr>
        <w:pStyle w:val="Akapitzlist"/>
        <w:numPr>
          <w:ilvl w:val="0"/>
          <w:numId w:val="2"/>
        </w:numPr>
      </w:pPr>
      <w:r w:rsidRPr="00EF35C4">
        <w:t>montaż opraw oświetleniowych, modułów fotowoltaicznych PV i turbiny wiatrowej</w:t>
      </w:r>
      <w:r w:rsidR="00043540">
        <w:t>.</w:t>
      </w:r>
    </w:p>
    <w:p w:rsidR="00043540" w:rsidRDefault="00043540" w:rsidP="001C5F5D">
      <w:pPr>
        <w:pStyle w:val="Nagwek2"/>
      </w:pPr>
      <w:r>
        <w:t>Określenia podstawowe</w:t>
      </w:r>
    </w:p>
    <w:p w:rsidR="00043540" w:rsidRPr="00EF35C4" w:rsidRDefault="00EF35C4" w:rsidP="00EF35C4">
      <w:pPr>
        <w:rPr>
          <w:szCs w:val="20"/>
        </w:rPr>
      </w:pPr>
      <w:r>
        <w:tab/>
        <w:t>Określenia podstawowe w niniejszej Specyfikacji Technicznej są zgodne z obowiązującymi odpowiednimi normami.</w:t>
      </w:r>
    </w:p>
    <w:p w:rsidR="00043540" w:rsidRDefault="00043540" w:rsidP="00043540">
      <w:pPr>
        <w:pStyle w:val="Nagwek2"/>
        <w:numPr>
          <w:ilvl w:val="0"/>
          <w:numId w:val="0"/>
        </w:numPr>
        <w:ind w:left="426"/>
      </w:pPr>
      <w:r>
        <w:t>1.5. Szczegółowe wymagania dotyczące robót</w:t>
      </w:r>
    </w:p>
    <w:p w:rsidR="00043540" w:rsidRDefault="001C5F5D" w:rsidP="00043540">
      <w:r>
        <w:tab/>
      </w:r>
      <w:r w:rsidR="00043540">
        <w:t>Szczegółowe wymagania dotyczące robót podano w ST-D-</w:t>
      </w:r>
      <w:r w:rsidR="00EF35C4">
        <w:t>M-</w:t>
      </w:r>
      <w:r w:rsidR="00043540">
        <w:t xml:space="preserve">00.00.00 „Wymagania </w:t>
      </w:r>
      <w:r>
        <w:t>ogólne</w:t>
      </w:r>
      <w:r w:rsidR="00043540">
        <w:t>” pkt</w:t>
      </w:r>
      <w:r>
        <w:t>.</w:t>
      </w:r>
      <w:r w:rsidR="00043540">
        <w:t xml:space="preserve"> 1.5.</w:t>
      </w:r>
    </w:p>
    <w:p w:rsidR="00043540" w:rsidRDefault="00043540" w:rsidP="00F630E7">
      <w:pPr>
        <w:pStyle w:val="Nagwek1"/>
      </w:pPr>
      <w:bookmarkStart w:id="0" w:name="_Toc424024071"/>
      <w:bookmarkStart w:id="1" w:name="_Toc450718594"/>
      <w:bookmarkStart w:id="2" w:name="_Toc451138864"/>
      <w:r>
        <w:t>MATERIAŁY</w:t>
      </w:r>
      <w:bookmarkEnd w:id="0"/>
      <w:bookmarkEnd w:id="1"/>
      <w:bookmarkEnd w:id="2"/>
    </w:p>
    <w:p w:rsidR="00043540" w:rsidRDefault="00043540" w:rsidP="00F630E7">
      <w:pPr>
        <w:pStyle w:val="Nagwek2"/>
      </w:pPr>
      <w:r>
        <w:t>Ogólne wymagania dotyczące materiałów</w:t>
      </w:r>
    </w:p>
    <w:p w:rsidR="00043540" w:rsidRDefault="00F630E7" w:rsidP="00043540">
      <w:r>
        <w:tab/>
      </w:r>
      <w:r w:rsidR="00390B72">
        <w:t>Ogólne</w:t>
      </w:r>
      <w:r w:rsidR="00043540">
        <w:t xml:space="preserve"> wymagania dotyczące materiałów, ich pozyskiwania i składowania, podano w ST-D</w:t>
      </w:r>
      <w:r>
        <w:t>-</w:t>
      </w:r>
      <w:r w:rsidR="00EF35C4">
        <w:t>M-</w:t>
      </w:r>
      <w:r>
        <w:t xml:space="preserve">00.00.00 „Wymagania ogólne” pkt. </w:t>
      </w:r>
      <w:r w:rsidR="00043540">
        <w:t>2.</w:t>
      </w:r>
    </w:p>
    <w:p w:rsidR="00EF35C4" w:rsidRPr="00EF35C4" w:rsidRDefault="00EF35C4" w:rsidP="00EF35C4">
      <w:pPr>
        <w:spacing w:before="60"/>
        <w:rPr>
          <w:szCs w:val="20"/>
        </w:rPr>
      </w:pPr>
      <w:r>
        <w:rPr>
          <w:rFonts w:eastAsia="Tahoma"/>
          <w:szCs w:val="20"/>
        </w:rPr>
        <w:tab/>
      </w:r>
      <w:r w:rsidRPr="00EF35C4">
        <w:rPr>
          <w:rFonts w:eastAsia="Tahoma"/>
          <w:szCs w:val="20"/>
        </w:rPr>
        <w:t>Materiały do wykonania w/w robót stosować zgodnie z obowiązującymi przepisami prawa, normami oraz zasadami wiedzy technicznej. Dostawa materiałów przeznaczonych do robót elektrycznych powinna nastąpić dopiero po odpowiednim przygotowaniu miejsca montażu. W czasie transportu i składania końce wszystkich rodzajów kabli i przewodów powinny być zabezpieczone przed wpływami środowiska. Materiały, wyro</w:t>
      </w:r>
      <w:r>
        <w:rPr>
          <w:rFonts w:eastAsia="Tahoma"/>
          <w:szCs w:val="20"/>
        </w:rPr>
        <w:t>by i </w:t>
      </w:r>
      <w:r w:rsidRPr="00EF35C4">
        <w:rPr>
          <w:rFonts w:eastAsia="Tahoma"/>
          <w:szCs w:val="20"/>
        </w:rPr>
        <w:t>urządzenia, dla których wymaga się świadectwo jakości, np.: aparat, przewody,</w:t>
      </w:r>
      <w:r>
        <w:rPr>
          <w:rFonts w:eastAsia="Tahoma"/>
          <w:szCs w:val="20"/>
        </w:rPr>
        <w:t xml:space="preserve"> </w:t>
      </w:r>
      <w:r w:rsidRPr="00EF35C4">
        <w:rPr>
          <w:rFonts w:eastAsia="Tahoma"/>
          <w:szCs w:val="20"/>
        </w:rPr>
        <w:t>urządzenia prefabrykowane czy techniczne, należy dostarczać wraz ze świadczeniami jakości, kartami gwarancyjnymi lub protokółami odbioru technicznego.</w:t>
      </w:r>
    </w:p>
    <w:p w:rsidR="00EF35C4" w:rsidRPr="00EF35C4" w:rsidRDefault="00EF35C4" w:rsidP="00EF35C4">
      <w:pPr>
        <w:pStyle w:val="Nagwek2"/>
      </w:pPr>
      <w:r w:rsidRPr="00EF35C4">
        <w:t>Materiały podstawowe</w:t>
      </w:r>
    </w:p>
    <w:p w:rsidR="00EF35C4" w:rsidRPr="00EF35C4" w:rsidRDefault="00EF35C4" w:rsidP="00EF35C4">
      <w:pPr>
        <w:rPr>
          <w:szCs w:val="20"/>
        </w:rPr>
      </w:pPr>
      <w:r>
        <w:rPr>
          <w:rFonts w:eastAsia="Tahoma"/>
          <w:szCs w:val="20"/>
        </w:rPr>
        <w:tab/>
      </w:r>
      <w:r w:rsidRPr="00EF35C4">
        <w:rPr>
          <w:rFonts w:eastAsia="Tahoma"/>
          <w:szCs w:val="20"/>
        </w:rPr>
        <w:t>Podstawowe materiały przy budowie to:</w:t>
      </w:r>
    </w:p>
    <w:p w:rsidR="00EF35C4" w:rsidRPr="00EF35C4" w:rsidRDefault="00EF35C4" w:rsidP="00BC27C5">
      <w:pPr>
        <w:pStyle w:val="Akapitzlist"/>
        <w:numPr>
          <w:ilvl w:val="0"/>
          <w:numId w:val="3"/>
        </w:numPr>
        <w:rPr>
          <w:rFonts w:eastAsia="Tahoma"/>
          <w:szCs w:val="20"/>
        </w:rPr>
      </w:pPr>
      <w:r w:rsidRPr="00EF35C4">
        <w:rPr>
          <w:rFonts w:eastAsia="Tahoma"/>
          <w:szCs w:val="20"/>
        </w:rPr>
        <w:lastRenderedPageBreak/>
        <w:t xml:space="preserve">maszt wolnostojący o wysokości </w:t>
      </w:r>
      <w:proofErr w:type="spellStart"/>
      <w:r w:rsidRPr="00EF35C4">
        <w:rPr>
          <w:rFonts w:eastAsia="Tahoma"/>
          <w:szCs w:val="20"/>
        </w:rPr>
        <w:t>ca</w:t>
      </w:r>
      <w:proofErr w:type="spellEnd"/>
      <w:r w:rsidRPr="00EF35C4">
        <w:rPr>
          <w:rFonts w:eastAsia="Tahoma"/>
          <w:szCs w:val="20"/>
        </w:rPr>
        <w:t xml:space="preserve">. 8 m, wykonane ze stali z powłoką antykorozyjną zewnętrzną i wewnętrzną. Górna część słupa jest konstrukcją do zamocowania wysięgnika do oprawy, konstrukcji do paneli fotowoltaicznych oraz turbiny wiatrowej. Grubość ścianek słupa nie mniejsza niż 5 </w:t>
      </w:r>
      <w:proofErr w:type="spellStart"/>
      <w:r w:rsidRPr="00EF35C4">
        <w:rPr>
          <w:rFonts w:eastAsia="Tahoma"/>
          <w:szCs w:val="20"/>
        </w:rPr>
        <w:t>mm</w:t>
      </w:r>
      <w:proofErr w:type="spellEnd"/>
      <w:r w:rsidRPr="00EF35C4">
        <w:rPr>
          <w:rFonts w:eastAsia="Tahoma"/>
          <w:szCs w:val="20"/>
        </w:rPr>
        <w:t>.</w:t>
      </w:r>
    </w:p>
    <w:p w:rsidR="00EF35C4" w:rsidRPr="00EF35C4" w:rsidRDefault="00EF35C4" w:rsidP="00BC27C5">
      <w:pPr>
        <w:pStyle w:val="Akapitzlist"/>
        <w:numPr>
          <w:ilvl w:val="0"/>
          <w:numId w:val="3"/>
        </w:numPr>
        <w:rPr>
          <w:rFonts w:eastAsia="Tahoma"/>
          <w:szCs w:val="20"/>
        </w:rPr>
      </w:pPr>
      <w:r w:rsidRPr="00EF35C4">
        <w:rPr>
          <w:rFonts w:eastAsia="Tahoma"/>
          <w:szCs w:val="20"/>
        </w:rPr>
        <w:t xml:space="preserve">oprawy oświetleniowe drogowe LED 40 ( wg producenta odpowiednik tradycyjnej lampy sodowej 120W-150W ) . Matryca diod LED zamknięta kloszem ze szkła hartowanego o stratności nie większej niż 2%. Obudowa oprawy ze stopu aluminium, waga nie większa niż 6,5 </w:t>
      </w:r>
      <w:proofErr w:type="spellStart"/>
      <w:r w:rsidRPr="00EF35C4">
        <w:rPr>
          <w:rFonts w:eastAsia="Tahoma"/>
          <w:szCs w:val="20"/>
        </w:rPr>
        <w:t>kg</w:t>
      </w:r>
      <w:proofErr w:type="spellEnd"/>
      <w:r w:rsidRPr="00EF35C4">
        <w:rPr>
          <w:rFonts w:eastAsia="Tahoma"/>
          <w:szCs w:val="20"/>
        </w:rPr>
        <w:t>. Stopień ochrony nie gorszy niżIP65. temperatura pracy oprawy od -30oC do +50oC.</w:t>
      </w:r>
    </w:p>
    <w:p w:rsidR="00EF35C4" w:rsidRPr="00EF35C4" w:rsidRDefault="00EF35C4" w:rsidP="00BC27C5">
      <w:pPr>
        <w:pStyle w:val="Akapitzlist"/>
        <w:numPr>
          <w:ilvl w:val="0"/>
          <w:numId w:val="3"/>
        </w:numPr>
        <w:rPr>
          <w:rFonts w:eastAsia="Tahoma"/>
          <w:szCs w:val="20"/>
        </w:rPr>
      </w:pPr>
      <w:r w:rsidRPr="00EF35C4">
        <w:rPr>
          <w:rFonts w:eastAsia="Tahoma"/>
          <w:szCs w:val="20"/>
        </w:rPr>
        <w:t xml:space="preserve">turbina wiatrowa 3-łopatowa z pionową osią obrotu o mocy znamionowej 400W/24V DC - z uwagi na cichszą pracą turbiny stawianej w sąsiedztwie zabudowań oraz szybszą reakcją na zmianę kierunku wiatru. Materiał łopat z tworzywa sztucznego wzmacnianego włóknem szklanym. Znamionowa ilość obrotów 80 </w:t>
      </w:r>
      <w:proofErr w:type="spellStart"/>
      <w:r w:rsidRPr="00EF35C4">
        <w:rPr>
          <w:rFonts w:eastAsia="Tahoma"/>
          <w:szCs w:val="20"/>
        </w:rPr>
        <w:t>obr</w:t>
      </w:r>
      <w:proofErr w:type="spellEnd"/>
      <w:r w:rsidRPr="00EF35C4">
        <w:rPr>
          <w:rFonts w:eastAsia="Tahoma"/>
          <w:szCs w:val="20"/>
        </w:rPr>
        <w:t>/min. Maksymalna prędkość wiatru 40 m/s. Turbina wyposażona jest w hamulec elektromagnetyczny i mechaniczny.</w:t>
      </w:r>
    </w:p>
    <w:p w:rsidR="00EF35C4" w:rsidRPr="00EF35C4" w:rsidRDefault="00EF35C4" w:rsidP="00BC27C5">
      <w:pPr>
        <w:pStyle w:val="Akapitzlist"/>
        <w:numPr>
          <w:ilvl w:val="0"/>
          <w:numId w:val="3"/>
        </w:numPr>
        <w:rPr>
          <w:rFonts w:eastAsia="Tahoma"/>
          <w:szCs w:val="20"/>
        </w:rPr>
      </w:pPr>
      <w:r w:rsidRPr="00EF35C4">
        <w:rPr>
          <w:rFonts w:eastAsia="Tahoma"/>
          <w:szCs w:val="20"/>
        </w:rPr>
        <w:t>panele fotowoltaiczne – 2 sztuki na słup - monokrystaliczne o mocy min 180W każdy. Panele pokryte szkłem hartowanym o niskiej zawartości żelaza oraz folią poprawiającą wytrzymałość termiczną modułów. Zabezpieczone mechanicznie ramą z anodowanego aluminium. Nie dopuszcza się zastosowania jednego panelu o większej mocy zamiast dwóch.</w:t>
      </w:r>
    </w:p>
    <w:p w:rsidR="00EF35C4" w:rsidRPr="00EF35C4" w:rsidRDefault="00EF35C4" w:rsidP="00BC27C5">
      <w:pPr>
        <w:pStyle w:val="Akapitzlist"/>
        <w:numPr>
          <w:ilvl w:val="0"/>
          <w:numId w:val="3"/>
        </w:numPr>
        <w:rPr>
          <w:rFonts w:eastAsia="Tahoma"/>
          <w:szCs w:val="20"/>
        </w:rPr>
      </w:pPr>
      <w:r w:rsidRPr="00EF35C4">
        <w:rPr>
          <w:rFonts w:eastAsia="Tahoma"/>
          <w:szCs w:val="20"/>
        </w:rPr>
        <w:t>regulator</w:t>
      </w:r>
    </w:p>
    <w:p w:rsidR="00EF35C4" w:rsidRPr="00EF35C4" w:rsidRDefault="00EF35C4" w:rsidP="00BC27C5">
      <w:pPr>
        <w:pStyle w:val="Akapitzlist"/>
        <w:numPr>
          <w:ilvl w:val="0"/>
          <w:numId w:val="3"/>
        </w:numPr>
        <w:rPr>
          <w:rFonts w:eastAsia="Tahoma"/>
          <w:szCs w:val="20"/>
        </w:rPr>
      </w:pPr>
      <w:r w:rsidRPr="00EF35C4">
        <w:rPr>
          <w:rFonts w:eastAsia="Tahoma"/>
          <w:szCs w:val="20"/>
        </w:rPr>
        <w:t xml:space="preserve">2 akumulatory AGM 12V min. 150 </w:t>
      </w:r>
      <w:proofErr w:type="spellStart"/>
      <w:r w:rsidRPr="00EF35C4">
        <w:rPr>
          <w:rFonts w:eastAsia="Tahoma"/>
          <w:szCs w:val="20"/>
        </w:rPr>
        <w:t>Ah</w:t>
      </w:r>
      <w:proofErr w:type="spellEnd"/>
      <w:r w:rsidRPr="00EF35C4">
        <w:rPr>
          <w:rFonts w:eastAsia="Tahoma"/>
          <w:szCs w:val="20"/>
        </w:rPr>
        <w:t xml:space="preserve"> w hermetycznej obudowie z tworzywa sztucznego, zakopane w ziemi.</w:t>
      </w:r>
    </w:p>
    <w:p w:rsidR="00EF35C4" w:rsidRPr="00EF35C4" w:rsidRDefault="00EF35C4" w:rsidP="00BC27C5">
      <w:pPr>
        <w:pStyle w:val="Akapitzlist"/>
        <w:numPr>
          <w:ilvl w:val="0"/>
          <w:numId w:val="3"/>
        </w:numPr>
        <w:rPr>
          <w:rFonts w:eastAsia="Tahoma"/>
          <w:szCs w:val="20"/>
        </w:rPr>
      </w:pPr>
      <w:r w:rsidRPr="00EF35C4">
        <w:rPr>
          <w:rFonts w:eastAsia="Tahoma"/>
          <w:szCs w:val="20"/>
        </w:rPr>
        <w:t>fundament betonowy prefabrykowany F150/200 wraz z lepikiem o wymiarach dostosowanych do parametrów słupa ciężaru i siłą naporu wiatru.</w:t>
      </w:r>
    </w:p>
    <w:p w:rsidR="00EF35C4" w:rsidRPr="00EF35C4" w:rsidRDefault="00EF35C4" w:rsidP="00BC27C5">
      <w:pPr>
        <w:pStyle w:val="Akapitzlist"/>
        <w:numPr>
          <w:ilvl w:val="0"/>
          <w:numId w:val="3"/>
        </w:numPr>
        <w:rPr>
          <w:rFonts w:eastAsia="Tahoma"/>
          <w:szCs w:val="20"/>
        </w:rPr>
      </w:pPr>
      <w:r w:rsidRPr="00EF35C4">
        <w:rPr>
          <w:rFonts w:eastAsia="Tahoma"/>
          <w:szCs w:val="20"/>
        </w:rPr>
        <w:t>konstrukcja do montażu paneli fotowoltaicznych.</w:t>
      </w:r>
    </w:p>
    <w:p w:rsidR="00EF35C4" w:rsidRPr="00EF35C4" w:rsidRDefault="00EF35C4" w:rsidP="00BC27C5">
      <w:pPr>
        <w:pStyle w:val="Akapitzlist"/>
        <w:numPr>
          <w:ilvl w:val="0"/>
          <w:numId w:val="3"/>
        </w:numPr>
        <w:rPr>
          <w:rFonts w:eastAsia="Tahoma"/>
          <w:szCs w:val="20"/>
        </w:rPr>
      </w:pPr>
      <w:r w:rsidRPr="00EF35C4">
        <w:rPr>
          <w:rFonts w:eastAsia="Tahoma"/>
          <w:szCs w:val="20"/>
        </w:rPr>
        <w:t>konstrukcja do montażu turbiny wiatrowej</w:t>
      </w:r>
    </w:p>
    <w:p w:rsidR="00EF35C4" w:rsidRPr="00EF35C4" w:rsidRDefault="00EF35C4" w:rsidP="00BC27C5">
      <w:pPr>
        <w:pStyle w:val="Akapitzlist"/>
        <w:numPr>
          <w:ilvl w:val="0"/>
          <w:numId w:val="3"/>
        </w:numPr>
        <w:rPr>
          <w:rFonts w:eastAsia="Tahoma"/>
          <w:szCs w:val="20"/>
        </w:rPr>
      </w:pPr>
      <w:r w:rsidRPr="00EF35C4">
        <w:rPr>
          <w:rFonts w:eastAsia="Tahoma"/>
          <w:szCs w:val="20"/>
        </w:rPr>
        <w:t xml:space="preserve">materiały inne, jak przewody typu YDY 2x1,5 </w:t>
      </w:r>
      <w:proofErr w:type="spellStart"/>
      <w:r w:rsidRPr="00EF35C4">
        <w:rPr>
          <w:rFonts w:eastAsia="Tahoma"/>
          <w:szCs w:val="20"/>
        </w:rPr>
        <w:t>mm²</w:t>
      </w:r>
      <w:proofErr w:type="spellEnd"/>
      <w:r w:rsidRPr="00EF35C4">
        <w:rPr>
          <w:rFonts w:eastAsia="Tahoma"/>
          <w:szCs w:val="20"/>
        </w:rPr>
        <w:t xml:space="preserve"> i YKY 2x1,5 </w:t>
      </w:r>
      <w:proofErr w:type="spellStart"/>
      <w:r w:rsidRPr="00EF35C4">
        <w:rPr>
          <w:rFonts w:eastAsia="Tahoma"/>
          <w:szCs w:val="20"/>
        </w:rPr>
        <w:t>mm²</w:t>
      </w:r>
      <w:proofErr w:type="spellEnd"/>
      <w:r w:rsidRPr="00EF35C4">
        <w:rPr>
          <w:rFonts w:eastAsia="Tahoma"/>
          <w:szCs w:val="20"/>
        </w:rPr>
        <w:t>, kapturki, podkładki, nakrętki itp.</w:t>
      </w:r>
    </w:p>
    <w:p w:rsidR="00043540" w:rsidRPr="00EF35C4" w:rsidRDefault="00EF35C4" w:rsidP="00BC27C5">
      <w:pPr>
        <w:pStyle w:val="Akapitzlist"/>
        <w:numPr>
          <w:ilvl w:val="0"/>
          <w:numId w:val="3"/>
        </w:numPr>
        <w:rPr>
          <w:szCs w:val="20"/>
        </w:rPr>
      </w:pPr>
      <w:r w:rsidRPr="00EF35C4">
        <w:rPr>
          <w:rFonts w:eastAsia="Tahoma"/>
          <w:szCs w:val="20"/>
        </w:rPr>
        <w:t>barwa światła 6 500 K</w:t>
      </w:r>
      <w:r w:rsidR="00043540" w:rsidRPr="00EF35C4">
        <w:rPr>
          <w:szCs w:val="20"/>
        </w:rPr>
        <w:t>.</w:t>
      </w:r>
    </w:p>
    <w:p w:rsidR="00043540" w:rsidRDefault="00B840D4" w:rsidP="00B840D4">
      <w:pPr>
        <w:pStyle w:val="Nagwek1"/>
      </w:pPr>
      <w:bookmarkStart w:id="3" w:name="_Toc450718595"/>
      <w:bookmarkStart w:id="4" w:name="_Toc451138865"/>
      <w:r>
        <w:t>SPRZĘT</w:t>
      </w:r>
      <w:bookmarkEnd w:id="3"/>
      <w:bookmarkEnd w:id="4"/>
    </w:p>
    <w:p w:rsidR="00043540" w:rsidRDefault="00043540" w:rsidP="00B840D4">
      <w:pPr>
        <w:pStyle w:val="Nagwek2"/>
      </w:pPr>
      <w:r>
        <w:t>Ogólne wymagania dotyczące sprzętu</w:t>
      </w:r>
    </w:p>
    <w:p w:rsidR="00043540" w:rsidRDefault="00B840D4" w:rsidP="00EF35C4">
      <w:r>
        <w:tab/>
      </w:r>
      <w:r w:rsidR="00390B72">
        <w:t>Ogólne</w:t>
      </w:r>
      <w:r w:rsidR="00043540">
        <w:t xml:space="preserve"> wymagania dotyczące sprzętu podano w ST D-M-00.00.00 „Wymagania </w:t>
      </w:r>
      <w:r w:rsidR="00EF35C4">
        <w:t>ogólne</w:t>
      </w:r>
      <w:r w:rsidR="00043540">
        <w:t>” pkt</w:t>
      </w:r>
      <w:r w:rsidR="00EF35C4">
        <w:t>.</w:t>
      </w:r>
      <w:r w:rsidR="00043540">
        <w:t xml:space="preserve"> 3.</w:t>
      </w:r>
    </w:p>
    <w:p w:rsidR="00EF35C4" w:rsidRPr="00EF35C4" w:rsidRDefault="00EF35C4" w:rsidP="00EF35C4">
      <w:pPr>
        <w:spacing w:before="60"/>
        <w:rPr>
          <w:rFonts w:cstheme="minorHAnsi"/>
          <w:szCs w:val="20"/>
        </w:rPr>
      </w:pPr>
      <w:r w:rsidRPr="00EF35C4">
        <w:rPr>
          <w:rFonts w:ascii="Tahoma" w:eastAsia="Tahoma" w:hAnsi="Tahoma" w:cs="Tahoma"/>
          <w:szCs w:val="20"/>
        </w:rPr>
        <w:tab/>
      </w:r>
      <w:r w:rsidRPr="00EF35C4">
        <w:rPr>
          <w:rFonts w:eastAsia="Tahoma" w:cstheme="minorHAnsi"/>
          <w:szCs w:val="20"/>
        </w:rPr>
        <w:t>Roboty ziemne mogą być wykonywane ręcznie lub przy użyciu sprzętu mechanicznego zaakceptowanego przez Inżyniera. Przy m</w:t>
      </w:r>
      <w:r>
        <w:rPr>
          <w:rFonts w:eastAsia="Tahoma" w:cstheme="minorHAnsi"/>
          <w:szCs w:val="20"/>
        </w:rPr>
        <w:t>echanicznym wykonywaniu robót W</w:t>
      </w:r>
      <w:r w:rsidRPr="00EF35C4">
        <w:rPr>
          <w:rFonts w:eastAsia="Tahoma" w:cstheme="minorHAnsi"/>
          <w:szCs w:val="20"/>
        </w:rPr>
        <w:t>ykonawca powinien dysponować sprzętem sprawnym technicznie, przewidzianym do tego typu robót. Roboty ziemne wykonywane w pobliżu istniejących urządzeń podziemnych winny być wykonywane ręcznie. Ilość i jakość sprzętu powinna gwarantować wykonanie robót zgodnie z zasadami określonymi dokumentacją techniczną i przewidywanym terminem realizacji.</w:t>
      </w:r>
    </w:p>
    <w:p w:rsidR="00043540" w:rsidRDefault="00043540" w:rsidP="00B840D4">
      <w:pPr>
        <w:pStyle w:val="Nagwek2"/>
      </w:pPr>
      <w:r>
        <w:t>Sprzęt do wykonania oświetlenia drogowego</w:t>
      </w:r>
    </w:p>
    <w:p w:rsidR="00EF35C4" w:rsidRDefault="00EF35C4" w:rsidP="00EF35C4">
      <w:pPr>
        <w:rPr>
          <w:szCs w:val="20"/>
        </w:rPr>
      </w:pPr>
      <w:r>
        <w:tab/>
        <w:t>Wykonawca przystępujący do robót winien wykazać się możliwością korzystania z niżej wymienionego sprzętu:</w:t>
      </w:r>
    </w:p>
    <w:p w:rsidR="00EF35C4" w:rsidRDefault="00EF35C4" w:rsidP="00BC27C5">
      <w:pPr>
        <w:pStyle w:val="Akapitzlist"/>
        <w:numPr>
          <w:ilvl w:val="0"/>
          <w:numId w:val="4"/>
        </w:numPr>
      </w:pPr>
      <w:r>
        <w:t>podnośnik montażowy samochodowy hydrauliczny 12m,</w:t>
      </w:r>
    </w:p>
    <w:p w:rsidR="00EF35C4" w:rsidRDefault="00EF35C4" w:rsidP="00BC27C5">
      <w:pPr>
        <w:pStyle w:val="Akapitzlist"/>
        <w:numPr>
          <w:ilvl w:val="0"/>
          <w:numId w:val="4"/>
        </w:numPr>
      </w:pPr>
      <w:r>
        <w:lastRenderedPageBreak/>
        <w:t>koparka 0,15m³,</w:t>
      </w:r>
    </w:p>
    <w:p w:rsidR="00EF35C4" w:rsidRDefault="00EF35C4" w:rsidP="00BC27C5">
      <w:pPr>
        <w:pStyle w:val="Akapitzlist"/>
        <w:numPr>
          <w:ilvl w:val="0"/>
          <w:numId w:val="4"/>
        </w:numPr>
      </w:pPr>
      <w:r>
        <w:t>żuraw samochodowy 6t,</w:t>
      </w:r>
    </w:p>
    <w:p w:rsidR="00EF35C4" w:rsidRDefault="00EF35C4" w:rsidP="00BC27C5">
      <w:pPr>
        <w:pStyle w:val="Akapitzlist"/>
        <w:numPr>
          <w:ilvl w:val="0"/>
          <w:numId w:val="4"/>
        </w:numPr>
      </w:pPr>
      <w:r>
        <w:t>podnośnik montażowy samochodowy hydrauliczny 12m,</w:t>
      </w:r>
    </w:p>
    <w:p w:rsidR="00043540" w:rsidRDefault="00EF35C4" w:rsidP="00BC27C5">
      <w:pPr>
        <w:pStyle w:val="Akapitzlist"/>
        <w:numPr>
          <w:ilvl w:val="0"/>
          <w:numId w:val="4"/>
        </w:numPr>
      </w:pPr>
      <w:r>
        <w:t>ręczny sprzęt mechaniczny,</w:t>
      </w:r>
      <w:r w:rsidR="00043540">
        <w:t>.</w:t>
      </w:r>
    </w:p>
    <w:p w:rsidR="00043540" w:rsidRPr="00B840D4" w:rsidRDefault="00B840D4" w:rsidP="00B840D4">
      <w:pPr>
        <w:pStyle w:val="Nagwek1"/>
      </w:pPr>
      <w:bookmarkStart w:id="5" w:name="_Toc450718596"/>
      <w:bookmarkStart w:id="6" w:name="_Toc451138866"/>
      <w:r w:rsidRPr="00B840D4">
        <w:t>TRANSPORT</w:t>
      </w:r>
      <w:bookmarkEnd w:id="5"/>
      <w:bookmarkEnd w:id="6"/>
    </w:p>
    <w:p w:rsidR="00043540" w:rsidRDefault="00043540" w:rsidP="00B840D4">
      <w:pPr>
        <w:pStyle w:val="Nagwek2"/>
      </w:pPr>
      <w:r>
        <w:t>Ogólne wymagania dotyczące transportu</w:t>
      </w:r>
    </w:p>
    <w:p w:rsidR="00043540" w:rsidRDefault="00B840D4" w:rsidP="00043540">
      <w:pPr>
        <w:numPr>
          <w:ilvl w:val="12"/>
          <w:numId w:val="0"/>
        </w:numPr>
      </w:pPr>
      <w:r>
        <w:tab/>
      </w:r>
      <w:r w:rsidR="00390B72">
        <w:t>Ogólne</w:t>
      </w:r>
      <w:r w:rsidR="00043540">
        <w:t xml:space="preserve"> wymagania dotyczące transportu podano w ST D-M-00.00.00 „Wymagania szczegółowe” pkt</w:t>
      </w:r>
      <w:r>
        <w:t>.</w:t>
      </w:r>
      <w:r w:rsidR="00043540">
        <w:t xml:space="preserve"> 4.</w:t>
      </w:r>
    </w:p>
    <w:p w:rsidR="00EF35C4" w:rsidRDefault="00EF35C4" w:rsidP="00EF35C4">
      <w:pPr>
        <w:spacing w:before="60"/>
      </w:pPr>
      <w:r>
        <w:tab/>
        <w:t>Materiały przewidziane do wykonania robót mogą być przewożone dowolnymi środkami transportu z zachowaniem zasad kodeksu drogowego. Dla materiałów długich należy stosować przyczepy dłużycowe, a materiały wysokie należy zabezpieczyć przed przewróceniem oraz przesuwaniem. W czasie transportu, załadunku i wyładunku oraz składowania aparatury należy przestrzegać zaleceń wytwórców.</w:t>
      </w:r>
    </w:p>
    <w:p w:rsidR="00043540" w:rsidRDefault="00043540" w:rsidP="00B840D4">
      <w:pPr>
        <w:pStyle w:val="Nagwek2"/>
      </w:pPr>
      <w:r>
        <w:t>Transport materiałów i elementów oświetleniowych</w:t>
      </w:r>
    </w:p>
    <w:p w:rsidR="00390B72" w:rsidRDefault="00390B72" w:rsidP="00390B72">
      <w:pPr>
        <w:rPr>
          <w:szCs w:val="20"/>
        </w:rPr>
      </w:pPr>
      <w:r>
        <w:tab/>
        <w:t>Wykonawca przystępujący do wykonania oświetlenia drogowego winien posiadać/mieć możliwość z korzystania/ z następujących środków transportu:</w:t>
      </w:r>
    </w:p>
    <w:p w:rsidR="00390B72" w:rsidRDefault="00390B72" w:rsidP="00BC27C5">
      <w:pPr>
        <w:pStyle w:val="Akapitzlist"/>
        <w:numPr>
          <w:ilvl w:val="0"/>
          <w:numId w:val="5"/>
        </w:numPr>
      </w:pPr>
      <w:r>
        <w:t>samochód dostawczy do 0.9 t,</w:t>
      </w:r>
    </w:p>
    <w:p w:rsidR="00390B72" w:rsidRDefault="00390B72" w:rsidP="00BC27C5">
      <w:pPr>
        <w:pStyle w:val="Akapitzlist"/>
        <w:numPr>
          <w:ilvl w:val="0"/>
          <w:numId w:val="5"/>
        </w:numPr>
      </w:pPr>
      <w:r>
        <w:t>samochód skrzyniowy,</w:t>
      </w:r>
    </w:p>
    <w:p w:rsidR="00043540" w:rsidRPr="00390B72" w:rsidRDefault="00390B72" w:rsidP="00BC27C5">
      <w:pPr>
        <w:pStyle w:val="Akapitzlist"/>
        <w:numPr>
          <w:ilvl w:val="0"/>
          <w:numId w:val="5"/>
        </w:numPr>
      </w:pPr>
      <w:r>
        <w:t>przyczepa dłuż. do samochodów do 4,5t</w:t>
      </w:r>
      <w:r w:rsidR="00043540">
        <w:t>.</w:t>
      </w:r>
    </w:p>
    <w:p w:rsidR="00043540" w:rsidRDefault="00B840D4" w:rsidP="00B840D4">
      <w:pPr>
        <w:pStyle w:val="Nagwek1"/>
      </w:pPr>
      <w:bookmarkStart w:id="7" w:name="_Toc450718597"/>
      <w:bookmarkStart w:id="8" w:name="_Toc451138867"/>
      <w:r>
        <w:t>WYKONANIE ROBÓT</w:t>
      </w:r>
      <w:bookmarkEnd w:id="7"/>
      <w:bookmarkEnd w:id="8"/>
    </w:p>
    <w:p w:rsidR="00043540" w:rsidRDefault="00390B72" w:rsidP="00B840D4">
      <w:pPr>
        <w:pStyle w:val="Nagwek2"/>
      </w:pPr>
      <w:r>
        <w:t xml:space="preserve">Ogólne </w:t>
      </w:r>
      <w:r w:rsidR="00043540">
        <w:t>zasady wykonania robót</w:t>
      </w:r>
    </w:p>
    <w:p w:rsidR="00043540" w:rsidRDefault="00043540" w:rsidP="00043540">
      <w:pPr>
        <w:numPr>
          <w:ilvl w:val="12"/>
          <w:numId w:val="0"/>
        </w:numPr>
      </w:pPr>
      <w:r>
        <w:tab/>
      </w:r>
      <w:r w:rsidR="00390B72">
        <w:t>Ogólne</w:t>
      </w:r>
      <w:r>
        <w:t xml:space="preserve"> zasady </w:t>
      </w:r>
      <w:r w:rsidR="00B840D4">
        <w:t>wykonania robót podano w ST D-</w:t>
      </w:r>
      <w:r w:rsidR="00390B72">
        <w:t>M-</w:t>
      </w:r>
      <w:r>
        <w:t>00.00.00 „Wymagania szczegółowe” pkt</w:t>
      </w:r>
      <w:r w:rsidR="00B840D4">
        <w:t>.</w:t>
      </w:r>
      <w:r>
        <w:t xml:space="preserve"> 5.</w:t>
      </w:r>
    </w:p>
    <w:p w:rsidR="00390B72" w:rsidRDefault="00390B72" w:rsidP="00390B72">
      <w:r>
        <w:tab/>
        <w:t>Pracę należy wykonać zgodnie z lokalizacją wg mapy geodezyjnej, zgłoszeniem robót, przedmiarem robót, obowiązującymi przepisami wykonania i odbioru robót oraz normami. . Pracownicy zatrudnieni przy budowie powinni bezwzględnie znać i przestrzegać zasady bezpieczeństwa. Przed przystąpieniem do pracy powinien być przeprowadzony instruktaż z zakresu bhp, w czasie, którego należy szczegółowo omówić zagrożenia mogące wystąpić przy wykonywanych pracach.</w:t>
      </w:r>
    </w:p>
    <w:p w:rsidR="00390B72" w:rsidRDefault="00390B72" w:rsidP="00390B72">
      <w:pPr>
        <w:rPr>
          <w:szCs w:val="20"/>
        </w:rPr>
      </w:pPr>
      <w:r>
        <w:tab/>
        <w:t>Prac montażowych nie wolno wykonywać w warunkach zwiększających zagrożenie wypadkowe tj.:</w:t>
      </w:r>
    </w:p>
    <w:p w:rsidR="00390B72" w:rsidRDefault="00390B72" w:rsidP="00BC27C5">
      <w:pPr>
        <w:pStyle w:val="Akapitzlist"/>
        <w:numPr>
          <w:ilvl w:val="1"/>
          <w:numId w:val="5"/>
        </w:numPr>
        <w:ind w:left="709"/>
      </w:pPr>
      <w:r>
        <w:t>zmroku</w:t>
      </w:r>
    </w:p>
    <w:p w:rsidR="00390B72" w:rsidRDefault="00390B72" w:rsidP="00BC27C5">
      <w:pPr>
        <w:pStyle w:val="Akapitzlist"/>
        <w:numPr>
          <w:ilvl w:val="0"/>
          <w:numId w:val="6"/>
        </w:numPr>
      </w:pPr>
      <w:r>
        <w:t>podczas burzy</w:t>
      </w:r>
    </w:p>
    <w:p w:rsidR="00390B72" w:rsidRDefault="00390B72" w:rsidP="00BC27C5">
      <w:pPr>
        <w:pStyle w:val="Akapitzlist"/>
        <w:numPr>
          <w:ilvl w:val="0"/>
          <w:numId w:val="6"/>
        </w:numPr>
      </w:pPr>
      <w:r>
        <w:t>w niesprzyjających warunkach atmosferycznych</w:t>
      </w:r>
    </w:p>
    <w:p w:rsidR="00390B72" w:rsidRDefault="00390B72" w:rsidP="00390B72">
      <w:pPr>
        <w:rPr>
          <w:szCs w:val="20"/>
        </w:rPr>
      </w:pPr>
      <w:r>
        <w:tab/>
        <w:t>Szczególną ostrożność należy zachować przy pracy w pobliżu innych czynnych linii elektroenergetycznych albo przy skrzyżowaniu z nimi.</w:t>
      </w:r>
    </w:p>
    <w:p w:rsidR="00390B72" w:rsidRDefault="00390B72" w:rsidP="00390B72">
      <w:r>
        <w:tab/>
        <w:t>Z uwagi na czynną drogę, pracę należy wykonywać po uzgodnieniu i na warunkach ustalonych z użytkownikiem drogi.</w:t>
      </w:r>
    </w:p>
    <w:p w:rsidR="00390B72" w:rsidRDefault="00390B72" w:rsidP="00390B72">
      <w:pPr>
        <w:pStyle w:val="Nagwek2"/>
        <w:rPr>
          <w:szCs w:val="20"/>
        </w:rPr>
      </w:pPr>
      <w:r>
        <w:lastRenderedPageBreak/>
        <w:t>Montaż fundamentów</w:t>
      </w:r>
    </w:p>
    <w:p w:rsidR="00390B72" w:rsidRDefault="00390B72" w:rsidP="00390B72">
      <w:pPr>
        <w:rPr>
          <w:szCs w:val="20"/>
        </w:rPr>
      </w:pPr>
      <w:r>
        <w:tab/>
        <w:t>Prace ziemne mogą być wykonywane tylko po dokładnym ustaleniu ciągów instalacji podziemnych i uzyskaniu zgody właściciela terenu. Wykopy powinny być ogrodzone i oznaczone tablicami ostrzegawczymi i taśmą ochronną. Wykop należy wypełnić gruntem żwirowo-piaskowym z zagęszczeniem do I</w:t>
      </w:r>
      <w:r w:rsidRPr="00390B72">
        <w:rPr>
          <w:vertAlign w:val="subscript"/>
        </w:rPr>
        <w:t>d</w:t>
      </w:r>
      <w:r>
        <w:t>=0,5. Zagęszczenie takie uzyskuje się stosując 10-cio centymetrowe warstwy piasku i żwiru, które następnie utwardza się odpowiednim ubijakiem. Minimalna gęstość</w:t>
      </w:r>
      <w:r>
        <w:rPr>
          <w:szCs w:val="20"/>
        </w:rPr>
        <w:t xml:space="preserve"> </w:t>
      </w:r>
      <w:r>
        <w:t xml:space="preserve">zasypki 17 </w:t>
      </w:r>
      <w:proofErr w:type="spellStart"/>
      <w:r>
        <w:t>kN</w:t>
      </w:r>
      <w:proofErr w:type="spellEnd"/>
      <w:r>
        <w:t>/m</w:t>
      </w:r>
      <w:r w:rsidRPr="00390B72">
        <w:rPr>
          <w:vertAlign w:val="superscript"/>
        </w:rPr>
        <w:t>3</w:t>
      </w:r>
      <w:r>
        <w:t>.</w:t>
      </w:r>
    </w:p>
    <w:p w:rsidR="00390B72" w:rsidRDefault="00390B72" w:rsidP="00390B72">
      <w:pPr>
        <w:pStyle w:val="Nagwek2"/>
        <w:rPr>
          <w:szCs w:val="20"/>
        </w:rPr>
      </w:pPr>
      <w:r>
        <w:t>Montaż słupów</w:t>
      </w:r>
    </w:p>
    <w:p w:rsidR="00390B72" w:rsidRDefault="00390B72" w:rsidP="00390B72">
      <w:pPr>
        <w:rPr>
          <w:szCs w:val="20"/>
        </w:rPr>
      </w:pPr>
      <w:r>
        <w:tab/>
        <w:t>Dolną część słupa (cokół) osadzić na fundamencie i dokręcić śrubami mocującymi. Górną część zamocować na dolnej za pomocą śrub mocujących i przy wykorzystaniu sprzętu dźwigowego. Sprawdzić pion ustawienia słupa. Dokonać niezbędnych regulacji. Wykonać uziemienie słupa za pomocą pręta 6 m połączonego za pomocą bednarki ze śrubami podstawy słupa.</w:t>
      </w:r>
    </w:p>
    <w:p w:rsidR="00390B72" w:rsidRDefault="00390B72" w:rsidP="00390B72">
      <w:pPr>
        <w:pStyle w:val="Nagwek2"/>
        <w:rPr>
          <w:szCs w:val="20"/>
        </w:rPr>
      </w:pPr>
      <w:r>
        <w:t>Montaż turbiny wiatrowej</w:t>
      </w:r>
    </w:p>
    <w:p w:rsidR="00390B72" w:rsidRDefault="00390B72" w:rsidP="00390B72">
      <w:pPr>
        <w:rPr>
          <w:szCs w:val="20"/>
        </w:rPr>
      </w:pPr>
      <w:r>
        <w:tab/>
        <w:t>Turbinę wiatrową, po jej zmontowaniu i podłączeniu przewodów, zamocować na kryzie na wierzchołku słupa. Turbina podczas montażu powinna być unieruchomiona mechanicznie.</w:t>
      </w:r>
    </w:p>
    <w:p w:rsidR="00390B72" w:rsidRDefault="00390B72" w:rsidP="00390B72">
      <w:pPr>
        <w:rPr>
          <w:szCs w:val="20"/>
        </w:rPr>
      </w:pPr>
    </w:p>
    <w:p w:rsidR="00390B72" w:rsidRDefault="00390B72" w:rsidP="00390B72">
      <w:pPr>
        <w:pStyle w:val="Nagwek2"/>
        <w:rPr>
          <w:szCs w:val="20"/>
        </w:rPr>
      </w:pPr>
      <w:r>
        <w:t>Montaż paneli PV</w:t>
      </w:r>
    </w:p>
    <w:p w:rsidR="00390B72" w:rsidRDefault="00390B72" w:rsidP="00390B72">
      <w:pPr>
        <w:rPr>
          <w:szCs w:val="20"/>
        </w:rPr>
      </w:pPr>
      <w:r>
        <w:tab/>
        <w:t>Podłączyć przewody do paneli zachowując odpowiednia polaryzacje. Następnie przymocować konstrukcje paneli w odpowiednim miejscu słupa wraz z panelami.</w:t>
      </w:r>
    </w:p>
    <w:p w:rsidR="00390B72" w:rsidRDefault="00390B72" w:rsidP="00390B72">
      <w:pPr>
        <w:pStyle w:val="Nagwek2"/>
        <w:rPr>
          <w:szCs w:val="20"/>
        </w:rPr>
      </w:pPr>
      <w:r>
        <w:t>Montaż opraw</w:t>
      </w:r>
    </w:p>
    <w:p w:rsidR="00390B72" w:rsidRDefault="00390B72" w:rsidP="00390B72">
      <w:pPr>
        <w:rPr>
          <w:szCs w:val="20"/>
        </w:rPr>
      </w:pPr>
      <w:r>
        <w:tab/>
        <w:t>Przed montażem opraw należy uprzednio zamontować wysięgnik oraz przeprowadzić przez niego przewody zasilające oprawy. Następnie do opraw wprowadzić przewody i je podłączyć zachowując odpowiednia polaryzację. Zamocować oprawę na wysięgniku pod katem nachylenia wskazanym w projekcie, ustawić oprawę w stronę jedni.</w:t>
      </w:r>
    </w:p>
    <w:p w:rsidR="00390B72" w:rsidRDefault="00390B72" w:rsidP="00390B72">
      <w:pPr>
        <w:pStyle w:val="Nagwek2"/>
        <w:rPr>
          <w:szCs w:val="20"/>
        </w:rPr>
      </w:pPr>
      <w:r>
        <w:t>Montaż akumulatorów i hybrydowego kontrolera ładowania</w:t>
      </w:r>
    </w:p>
    <w:p w:rsidR="00390B72" w:rsidRDefault="00390B72" w:rsidP="00390B72">
      <w:r>
        <w:t>Akumulatory należy zamontować w obudowie przy fundamencie słupa w pozycji poziomej, po uprzednim wyłożeniu izolacją termiczną obudowy. Akumulatory połączyć szeregowo. Następnie podłączyć odpowiednie przewody do uprzednio zaprogramowanego sterownika.</w:t>
      </w:r>
    </w:p>
    <w:p w:rsidR="00390B72" w:rsidRDefault="00390B72" w:rsidP="00390B72">
      <w:r>
        <w:tab/>
        <w:t>Sterownik zamontować tak, aby umożliwić łatwy dostęp do niego przez drzwiczki</w:t>
      </w:r>
      <w:bookmarkStart w:id="9" w:name="page7"/>
      <w:bookmarkEnd w:id="9"/>
      <w:r>
        <w:t xml:space="preserve"> rewizyjne. Wyprowadzić do poziomu otworu rewizyjnego w słupie przewody 2 x 2,5 mm2 z zacisków akumulatora w celu awaryjnego ładowania akumulatorów oraz z zacisków kontrolera do jego programowania. Zakończyć te przewody końcówkami właściwymi zgodnie z instrukcją obsługi kontrolera.</w:t>
      </w:r>
    </w:p>
    <w:p w:rsidR="00390B72" w:rsidRDefault="00390B72" w:rsidP="00390B72">
      <w:pPr>
        <w:rPr>
          <w:szCs w:val="20"/>
        </w:rPr>
      </w:pPr>
      <w:r>
        <w:tab/>
        <w:t>Zabezpieczyć drzwiczki otworu rewizyjnego przed nieupoważnionym otwieraniem za pomocą specjalnych wkrętów.</w:t>
      </w:r>
    </w:p>
    <w:p w:rsidR="00390B72" w:rsidRDefault="00390B72" w:rsidP="00390B72">
      <w:pPr>
        <w:pStyle w:val="Nagwek2"/>
        <w:rPr>
          <w:szCs w:val="20"/>
        </w:rPr>
      </w:pPr>
      <w:r>
        <w:t>Ochrona od porażeń</w:t>
      </w:r>
    </w:p>
    <w:p w:rsidR="00390B72" w:rsidRDefault="00390B72" w:rsidP="00390B72">
      <w:r>
        <w:tab/>
        <w:t>Nie projektuje się ochrony przeciwporażeniowej, ponieważ instalacja hybrydowa pracuje przy napięciu bezpiecznym.</w:t>
      </w:r>
    </w:p>
    <w:p w:rsidR="00390B72" w:rsidRPr="00796D83" w:rsidRDefault="00390B72" w:rsidP="00390B72">
      <w:pPr>
        <w:pStyle w:val="Nagwek1"/>
      </w:pPr>
      <w:r w:rsidRPr="00796D83">
        <w:lastRenderedPageBreak/>
        <w:t>KONTROLA JAKOŚCI ROBÓT</w:t>
      </w:r>
    </w:p>
    <w:p w:rsidR="00390B72" w:rsidRPr="00796D83" w:rsidRDefault="00390B72" w:rsidP="00390B72">
      <w:pPr>
        <w:pStyle w:val="Nagwek2"/>
      </w:pPr>
      <w:r w:rsidRPr="00796D83">
        <w:t>Ogólne zasady kontroli jakości robót</w:t>
      </w:r>
    </w:p>
    <w:p w:rsidR="00390B72" w:rsidRPr="00796D83" w:rsidRDefault="00390B72" w:rsidP="00390B72">
      <w:pPr>
        <w:rPr>
          <w:szCs w:val="20"/>
        </w:rPr>
      </w:pPr>
      <w:r>
        <w:rPr>
          <w:szCs w:val="20"/>
        </w:rPr>
        <w:tab/>
      </w:r>
      <w:r w:rsidRPr="00796D83">
        <w:rPr>
          <w:szCs w:val="20"/>
        </w:rPr>
        <w:t>Ogólne zasady kontroli jakości robót podano w ST D</w:t>
      </w:r>
      <w:r>
        <w:rPr>
          <w:szCs w:val="20"/>
        </w:rPr>
        <w:t>-M</w:t>
      </w:r>
      <w:r w:rsidRPr="00796D83">
        <w:rPr>
          <w:szCs w:val="20"/>
        </w:rPr>
        <w:t>-00.00.00 „Wymagania ogólne” pkt</w:t>
      </w:r>
      <w:r>
        <w:rPr>
          <w:szCs w:val="20"/>
        </w:rPr>
        <w:t>.</w:t>
      </w:r>
      <w:r w:rsidRPr="00796D83">
        <w:rPr>
          <w:szCs w:val="20"/>
        </w:rPr>
        <w:t xml:space="preserve"> 6.</w:t>
      </w:r>
    </w:p>
    <w:p w:rsidR="00390B72" w:rsidRDefault="00390B72" w:rsidP="00390B72">
      <w:r>
        <w:tab/>
        <w:t>Celem kontroli jest stwierdzenie osiągnięcia założonej, jakości wykonywanych robót. Wykonawca winien wykonać pełny zakres badań na budowie w celu wskazania zgodności dostarczonych materiałów i realizowanych robót z dokumentacją projektowa.</w:t>
      </w:r>
    </w:p>
    <w:p w:rsidR="00390B72" w:rsidRDefault="00390B72" w:rsidP="00390B72">
      <w:pPr>
        <w:rPr>
          <w:szCs w:val="20"/>
        </w:rPr>
      </w:pPr>
      <w:r>
        <w:tab/>
        <w:t>Wykonawca przed przystąpieniem do badań winien powiadomić Inspektora Nadzoru o rodzaju i terminie badania. W oparciu o przeprowadzone badania Wykonawca przedstawia na piśmie wyniki badań. Wykonawca powinien powiadomić na piśmie Inżyniera o zakończeniu każdej roboty zanikającej (zasypywanie wykopów z fundamentem), którą może kontynuować dopiero po stwierdzeniu założonej jakości.</w:t>
      </w:r>
    </w:p>
    <w:p w:rsidR="00390B72" w:rsidRDefault="00390B72" w:rsidP="00390B72">
      <w:pPr>
        <w:pStyle w:val="Nagwek2"/>
        <w:rPr>
          <w:szCs w:val="20"/>
        </w:rPr>
      </w:pPr>
      <w:r>
        <w:t>Badania przed przystąpieniem do robót</w:t>
      </w:r>
    </w:p>
    <w:p w:rsidR="00390B72" w:rsidRDefault="00390B72" w:rsidP="00390B72">
      <w:pPr>
        <w:rPr>
          <w:szCs w:val="20"/>
        </w:rPr>
      </w:pPr>
      <w:r>
        <w:tab/>
        <w:t>Wykonawca przed przystąpieniem do robót powinien uzyskać od producentów deklaracje właściwości użytkowych, jeżeli dotyczy, zaświadczenia o jakości lub atesty stosowanych materiałów. Na żądanie Inżyniera, należy dokonać testowania sprzętu posiadającego możliwość nastawienia mechanizmów regulujących i przedstawić świadectwa testowania.</w:t>
      </w:r>
    </w:p>
    <w:p w:rsidR="00390B72" w:rsidRDefault="00390B72" w:rsidP="00390B72">
      <w:pPr>
        <w:pStyle w:val="Nagwek2"/>
        <w:rPr>
          <w:szCs w:val="20"/>
        </w:rPr>
      </w:pPr>
      <w:r>
        <w:t>Badania w czasie wykonywania robót</w:t>
      </w:r>
    </w:p>
    <w:p w:rsidR="00390B72" w:rsidRDefault="00390B72" w:rsidP="00390B72">
      <w:pPr>
        <w:rPr>
          <w:szCs w:val="20"/>
        </w:rPr>
      </w:pPr>
      <w:r>
        <w:tab/>
        <w:t>Badaniom w czasie wykonywania robót powinny podlegać te fragmenty instalacji, które będą niewidoczne lub bardzo trudne do sprawdzenia po zakończeniu robót montażowych. Przy przewodach sprawdzenie polega na stwierdzeniu ich zgodności z wymaganiami norm przedmiotowych lub dokumentów według których zostały wykonane, na podstawie deklaracji właściwości użytkowych, atestów protokołów odbioru albo innych dokumentów.</w:t>
      </w:r>
    </w:p>
    <w:p w:rsidR="00390B72" w:rsidRDefault="00FA5B0B" w:rsidP="00390B72">
      <w:pPr>
        <w:rPr>
          <w:szCs w:val="20"/>
        </w:rPr>
      </w:pPr>
      <w:r>
        <w:tab/>
      </w:r>
      <w:r w:rsidR="00390B72">
        <w:t>Należy także dokonać:</w:t>
      </w:r>
    </w:p>
    <w:p w:rsidR="00390B72" w:rsidRDefault="00390B72" w:rsidP="00390B72">
      <w:r>
        <w:t>sprawdzenia ciągłości żył roboczych oraz zgodności polaryzacji,</w:t>
      </w:r>
    </w:p>
    <w:p w:rsidR="00390B72" w:rsidRDefault="00390B72" w:rsidP="00BC27C5">
      <w:pPr>
        <w:pStyle w:val="Akapitzlist"/>
        <w:numPr>
          <w:ilvl w:val="0"/>
          <w:numId w:val="7"/>
        </w:numPr>
      </w:pPr>
      <w:r>
        <w:t>sprawdzenie poprawności montażu słupów, turbin, konstrukcji pod moduły fotowoltaiczne oraz opraw oraz ich</w:t>
      </w:r>
    </w:p>
    <w:p w:rsidR="00390B72" w:rsidRDefault="00390B72" w:rsidP="00BC27C5">
      <w:pPr>
        <w:pStyle w:val="Akapitzlist"/>
        <w:numPr>
          <w:ilvl w:val="0"/>
          <w:numId w:val="7"/>
        </w:numPr>
      </w:pPr>
      <w:r>
        <w:t>właściwego ustawienia,</w:t>
      </w:r>
    </w:p>
    <w:p w:rsidR="00390B72" w:rsidRDefault="00390B72" w:rsidP="00BC27C5">
      <w:pPr>
        <w:pStyle w:val="Akapitzlist"/>
        <w:numPr>
          <w:ilvl w:val="0"/>
          <w:numId w:val="7"/>
        </w:numPr>
      </w:pPr>
      <w:r>
        <w:t>pomiarów natężenia oświetlenia na drodze.</w:t>
      </w:r>
    </w:p>
    <w:p w:rsidR="00390B72" w:rsidRDefault="00390B72" w:rsidP="00FA5B0B">
      <w:pPr>
        <w:pStyle w:val="Nagwek2"/>
        <w:rPr>
          <w:szCs w:val="20"/>
        </w:rPr>
      </w:pPr>
      <w:r>
        <w:t>Badania po wykonaniu robót</w:t>
      </w:r>
    </w:p>
    <w:p w:rsidR="00390B72" w:rsidRDefault="00FA5B0B" w:rsidP="00390B72">
      <w:pPr>
        <w:rPr>
          <w:szCs w:val="20"/>
        </w:rPr>
      </w:pPr>
      <w:r>
        <w:tab/>
      </w:r>
      <w:r w:rsidR="00390B72">
        <w:t xml:space="preserve">W przypadku pozytywnych wyników pomiarów i badań wykonanych przed i w czasie wykonywania robót, na wniosek Wykonawcy </w:t>
      </w:r>
      <w:r>
        <w:t>Inżynier</w:t>
      </w:r>
      <w:r w:rsidR="00390B72">
        <w:t xml:space="preserve"> może wyrazić zgodę na nie wykonywanie badań po wykonaniu robót.</w:t>
      </w:r>
    </w:p>
    <w:p w:rsidR="00FA5B0B" w:rsidRPr="00796D83" w:rsidRDefault="00FA5B0B" w:rsidP="00FA5B0B">
      <w:pPr>
        <w:pStyle w:val="Nagwek1"/>
      </w:pPr>
      <w:r w:rsidRPr="00796D83">
        <w:t>OBMIAR ROBÓT</w:t>
      </w:r>
    </w:p>
    <w:p w:rsidR="00FA5B0B" w:rsidRPr="00796D83" w:rsidRDefault="00FA5B0B" w:rsidP="00FA5B0B">
      <w:pPr>
        <w:pStyle w:val="Nagwek2"/>
      </w:pPr>
      <w:r w:rsidRPr="00796D83">
        <w:t>Ogólne zasady obmiaru robót</w:t>
      </w:r>
    </w:p>
    <w:p w:rsidR="00390B72" w:rsidRDefault="00FA5B0B" w:rsidP="00FA5B0B">
      <w:pPr>
        <w:rPr>
          <w:szCs w:val="20"/>
        </w:rPr>
      </w:pPr>
      <w:r>
        <w:rPr>
          <w:szCs w:val="20"/>
        </w:rPr>
        <w:tab/>
      </w:r>
      <w:r w:rsidRPr="00796D83">
        <w:rPr>
          <w:szCs w:val="20"/>
        </w:rPr>
        <w:t>Ogólne zasady obmiaru robót podano w ST D-</w:t>
      </w:r>
      <w:r>
        <w:rPr>
          <w:szCs w:val="20"/>
        </w:rPr>
        <w:t>M-</w:t>
      </w:r>
      <w:r w:rsidRPr="00796D83">
        <w:rPr>
          <w:szCs w:val="20"/>
        </w:rPr>
        <w:t>00.00.00 „Wymagania ogólne” pkt</w:t>
      </w:r>
      <w:r>
        <w:rPr>
          <w:szCs w:val="20"/>
        </w:rPr>
        <w:t>.</w:t>
      </w:r>
      <w:r w:rsidRPr="00796D83">
        <w:rPr>
          <w:szCs w:val="20"/>
        </w:rPr>
        <w:t xml:space="preserve"> 7.</w:t>
      </w:r>
    </w:p>
    <w:p w:rsidR="00FA5B0B" w:rsidRDefault="00FA5B0B" w:rsidP="00FA5B0B">
      <w:pPr>
        <w:spacing w:before="60"/>
      </w:pPr>
      <w:r>
        <w:tab/>
        <w:t>Obmiar robót należy wykonać w oparciu o dokumentację i dodatkowe ustalenia wynikłe w czasie budowy, akceptowane przez Inżyniera.</w:t>
      </w:r>
    </w:p>
    <w:p w:rsidR="00FA5B0B" w:rsidRPr="00796D83" w:rsidRDefault="00FA5B0B" w:rsidP="00FA5B0B">
      <w:pPr>
        <w:pStyle w:val="Nagwek1"/>
      </w:pPr>
      <w:r w:rsidRPr="00796D83">
        <w:lastRenderedPageBreak/>
        <w:t>ODBIÓR ROBÓT</w:t>
      </w:r>
    </w:p>
    <w:p w:rsidR="00FA5B0B" w:rsidRPr="00796D83" w:rsidRDefault="00FA5B0B" w:rsidP="00FA5B0B">
      <w:pPr>
        <w:pStyle w:val="Nagwek2"/>
      </w:pPr>
      <w:r w:rsidRPr="00796D83">
        <w:t>Ogólne zasady odbioru robót</w:t>
      </w:r>
    </w:p>
    <w:p w:rsidR="00FA5B0B" w:rsidRPr="00796D83" w:rsidRDefault="00FA5B0B" w:rsidP="00FA5B0B">
      <w:pPr>
        <w:rPr>
          <w:szCs w:val="20"/>
        </w:rPr>
      </w:pPr>
      <w:r>
        <w:rPr>
          <w:szCs w:val="20"/>
        </w:rPr>
        <w:tab/>
      </w:r>
      <w:r w:rsidRPr="00796D83">
        <w:rPr>
          <w:szCs w:val="20"/>
        </w:rPr>
        <w:t xml:space="preserve">Ogólne zasady odbioru robót podano w ST </w:t>
      </w:r>
      <w:r w:rsidRPr="002E54EA">
        <w:rPr>
          <w:lang w:eastAsia="pl-PL"/>
        </w:rPr>
        <w:t>D-M-00.00.00</w:t>
      </w:r>
      <w:r w:rsidRPr="00796D83">
        <w:rPr>
          <w:szCs w:val="20"/>
        </w:rPr>
        <w:t xml:space="preserve"> „Wymagania ogólne” pkt</w:t>
      </w:r>
      <w:r>
        <w:rPr>
          <w:szCs w:val="20"/>
        </w:rPr>
        <w:t>.</w:t>
      </w:r>
      <w:r w:rsidRPr="00796D83">
        <w:rPr>
          <w:szCs w:val="20"/>
        </w:rPr>
        <w:t xml:space="preserve"> 8.</w:t>
      </w:r>
    </w:p>
    <w:p w:rsidR="00FA5B0B" w:rsidRDefault="00FA5B0B" w:rsidP="00FA5B0B">
      <w:pPr>
        <w:spacing w:before="120"/>
        <w:rPr>
          <w:szCs w:val="20"/>
        </w:rPr>
      </w:pPr>
      <w:r>
        <w:tab/>
        <w:t>Przy przekazywaniu oświetlenia drogowego do eksploatacji Wykonawca robót zobowiązany jest dostarczyć Zamawiającemu następujące dokumenty:</w:t>
      </w:r>
    </w:p>
    <w:p w:rsidR="00FA5B0B" w:rsidRPr="00FA5B0B" w:rsidRDefault="00FA5B0B" w:rsidP="00BC27C5">
      <w:pPr>
        <w:pStyle w:val="Akapitzlist"/>
        <w:numPr>
          <w:ilvl w:val="0"/>
          <w:numId w:val="8"/>
        </w:numPr>
        <w:rPr>
          <w:szCs w:val="20"/>
        </w:rPr>
      </w:pPr>
      <w:r>
        <w:t>protokoły odbioru robót zanikających,</w:t>
      </w:r>
    </w:p>
    <w:p w:rsidR="00FA5B0B" w:rsidRPr="00FA5B0B" w:rsidRDefault="00FA5B0B" w:rsidP="00BC27C5">
      <w:pPr>
        <w:pStyle w:val="Akapitzlist"/>
        <w:numPr>
          <w:ilvl w:val="0"/>
          <w:numId w:val="8"/>
        </w:numPr>
        <w:rPr>
          <w:szCs w:val="20"/>
        </w:rPr>
      </w:pPr>
      <w:r>
        <w:t>atesty, certyfikaty, deklaracje zgodności użytych materiałów</w:t>
      </w:r>
    </w:p>
    <w:p w:rsidR="00FA5B0B" w:rsidRPr="00FA5B0B" w:rsidRDefault="00FA5B0B" w:rsidP="00BC27C5">
      <w:pPr>
        <w:pStyle w:val="Akapitzlist"/>
        <w:numPr>
          <w:ilvl w:val="0"/>
          <w:numId w:val="8"/>
        </w:numPr>
        <w:rPr>
          <w:szCs w:val="20"/>
        </w:rPr>
      </w:pPr>
      <w:r>
        <w:t>instrukcje montażu lub eksploatacji istotnych elementów</w:t>
      </w:r>
    </w:p>
    <w:p w:rsidR="00FA5B0B" w:rsidRDefault="00FA5B0B" w:rsidP="00BC27C5">
      <w:pPr>
        <w:pStyle w:val="Akapitzlist"/>
        <w:numPr>
          <w:ilvl w:val="0"/>
          <w:numId w:val="8"/>
        </w:numPr>
      </w:pPr>
      <w:r>
        <w:t>wypełniony dziennik budowy (w przypadku gdy jest prowadzony),</w:t>
      </w:r>
    </w:p>
    <w:p w:rsidR="00FA5B0B" w:rsidRDefault="00FA5B0B" w:rsidP="00BC27C5">
      <w:pPr>
        <w:pStyle w:val="Akapitzlist"/>
        <w:numPr>
          <w:ilvl w:val="0"/>
          <w:numId w:val="8"/>
        </w:numPr>
      </w:pPr>
      <w:r>
        <w:t>kosztorys powykonawczy - jeżeli wymaga tego umowa.</w:t>
      </w:r>
    </w:p>
    <w:p w:rsidR="00FA5B0B" w:rsidRDefault="00FA5B0B" w:rsidP="00FA5B0B">
      <w:pPr>
        <w:spacing w:before="60"/>
      </w:pPr>
      <w:r>
        <w:tab/>
        <w:t>Odbiór robót odbywać się powinien w oparciu o:</w:t>
      </w:r>
    </w:p>
    <w:p w:rsidR="00FA5B0B" w:rsidRDefault="00FA5B0B" w:rsidP="00BC27C5">
      <w:pPr>
        <w:pStyle w:val="Akapitzlist"/>
        <w:numPr>
          <w:ilvl w:val="0"/>
          <w:numId w:val="9"/>
        </w:numPr>
      </w:pPr>
      <w:r>
        <w:t>przepisy prawa budowlanego,</w:t>
      </w:r>
    </w:p>
    <w:p w:rsidR="00FA5B0B" w:rsidRDefault="00FA5B0B" w:rsidP="00BC27C5">
      <w:pPr>
        <w:pStyle w:val="Akapitzlist"/>
        <w:numPr>
          <w:ilvl w:val="0"/>
          <w:numId w:val="9"/>
        </w:numPr>
      </w:pPr>
      <w:r>
        <w:t>terminowość wykonania robót,</w:t>
      </w:r>
    </w:p>
    <w:p w:rsidR="00FA5B0B" w:rsidRDefault="00FA5B0B" w:rsidP="00BC27C5">
      <w:pPr>
        <w:pStyle w:val="Akapitzlist"/>
        <w:numPr>
          <w:ilvl w:val="0"/>
          <w:numId w:val="9"/>
        </w:numPr>
      </w:pPr>
      <w:r>
        <w:t>warunki techniczne odbioru robót,</w:t>
      </w:r>
    </w:p>
    <w:p w:rsidR="00FA5B0B" w:rsidRDefault="00FA5B0B" w:rsidP="00BC27C5">
      <w:pPr>
        <w:pStyle w:val="Akapitzlist"/>
        <w:numPr>
          <w:ilvl w:val="0"/>
          <w:numId w:val="9"/>
        </w:numPr>
      </w:pPr>
      <w:r>
        <w:t>przepisy bezpieczeństwa i higieny pracy.</w:t>
      </w:r>
    </w:p>
    <w:p w:rsidR="00FA5B0B" w:rsidRPr="00796D83" w:rsidRDefault="00FA5B0B" w:rsidP="00FA5B0B">
      <w:pPr>
        <w:pStyle w:val="Nagwek1"/>
      </w:pPr>
      <w:r w:rsidRPr="00796D83">
        <w:t>PODSTAWA PŁATNOŚCI</w:t>
      </w:r>
    </w:p>
    <w:p w:rsidR="00FA5B0B" w:rsidRPr="00796D83" w:rsidRDefault="00FA5B0B" w:rsidP="00FA5B0B">
      <w:pPr>
        <w:pStyle w:val="Nagwek2"/>
      </w:pPr>
      <w:r w:rsidRPr="00796D83">
        <w:t>Ogólne ustalenia dotyczące podstawy płatności</w:t>
      </w:r>
    </w:p>
    <w:p w:rsidR="00FA5B0B" w:rsidRPr="00796D83" w:rsidRDefault="00FA5B0B" w:rsidP="00FA5B0B">
      <w:pPr>
        <w:rPr>
          <w:szCs w:val="20"/>
        </w:rPr>
      </w:pPr>
      <w:r>
        <w:rPr>
          <w:szCs w:val="20"/>
        </w:rPr>
        <w:tab/>
      </w:r>
      <w:r w:rsidRPr="00796D83">
        <w:rPr>
          <w:szCs w:val="20"/>
        </w:rPr>
        <w:t>Ogólne ustalenia dotyczą</w:t>
      </w:r>
      <w:r>
        <w:rPr>
          <w:szCs w:val="20"/>
        </w:rPr>
        <w:t xml:space="preserve">ce podstawy płatności podano w </w:t>
      </w:r>
      <w:r w:rsidRPr="00796D83">
        <w:rPr>
          <w:szCs w:val="20"/>
        </w:rPr>
        <w:t>ST D-</w:t>
      </w:r>
      <w:r>
        <w:rPr>
          <w:szCs w:val="20"/>
        </w:rPr>
        <w:t>M-</w:t>
      </w:r>
      <w:r w:rsidRPr="00796D83">
        <w:rPr>
          <w:szCs w:val="20"/>
        </w:rPr>
        <w:t>00.00.00 „Wymagania ogólne” pkt</w:t>
      </w:r>
      <w:r>
        <w:rPr>
          <w:szCs w:val="20"/>
        </w:rPr>
        <w:t>.</w:t>
      </w:r>
      <w:r w:rsidRPr="00796D83">
        <w:rPr>
          <w:szCs w:val="20"/>
        </w:rPr>
        <w:t xml:space="preserve"> 9.</w:t>
      </w:r>
    </w:p>
    <w:p w:rsidR="00FA5B0B" w:rsidRDefault="00FA5B0B" w:rsidP="00FA5B0B">
      <w:pPr>
        <w:pStyle w:val="Nagwek1"/>
        <w:rPr>
          <w:sz w:val="20"/>
          <w:szCs w:val="20"/>
        </w:rPr>
      </w:pPr>
      <w:r>
        <w:rPr>
          <w:rFonts w:eastAsia="Tahoma"/>
        </w:rPr>
        <w:t>PRZEPISY ZWIĄZANE</w:t>
      </w:r>
    </w:p>
    <w:p w:rsidR="00FA5B0B" w:rsidRDefault="00FA5B0B" w:rsidP="00FA5B0B">
      <w:pPr>
        <w:pStyle w:val="Nagwek2"/>
        <w:ind w:left="567" w:hanging="357"/>
      </w:pPr>
      <w:r>
        <w:t>Specyfikacje techniczne</w:t>
      </w:r>
    </w:p>
    <w:p w:rsidR="00FA5B0B" w:rsidRPr="002E54EA" w:rsidRDefault="00FA5B0B" w:rsidP="00FA5B0B">
      <w:pPr>
        <w:pStyle w:val="Akapitzlist"/>
        <w:ind w:left="426"/>
        <w:rPr>
          <w:lang w:eastAsia="pl-PL"/>
        </w:rPr>
      </w:pPr>
      <w:r w:rsidRPr="002E54EA">
        <w:rPr>
          <w:lang w:eastAsia="pl-PL"/>
        </w:rPr>
        <w:t>D-M-00.00.00</w:t>
      </w:r>
      <w:r w:rsidRPr="002E54EA">
        <w:rPr>
          <w:lang w:eastAsia="pl-PL"/>
        </w:rPr>
        <w:tab/>
        <w:t>Wymagania ogólne</w:t>
      </w:r>
    </w:p>
    <w:p w:rsidR="00FA5B0B" w:rsidRDefault="00FA5B0B" w:rsidP="00FA5B0B">
      <w:pPr>
        <w:pStyle w:val="Nagwek2"/>
      </w:pPr>
      <w:r>
        <w:t>Normy</w:t>
      </w:r>
    </w:p>
    <w:p w:rsidR="00FA5B0B" w:rsidRPr="00FA5B0B" w:rsidRDefault="00FA5B0B" w:rsidP="00BC27C5">
      <w:pPr>
        <w:numPr>
          <w:ilvl w:val="0"/>
          <w:numId w:val="10"/>
        </w:numPr>
        <w:tabs>
          <w:tab w:val="clear" w:pos="284"/>
          <w:tab w:val="left" w:pos="567"/>
        </w:tabs>
        <w:spacing w:line="276" w:lineRule="auto"/>
        <w:ind w:left="282" w:hanging="282"/>
        <w:rPr>
          <w:rFonts w:eastAsia="Tahoma" w:cstheme="minorHAnsi"/>
          <w:szCs w:val="24"/>
        </w:rPr>
      </w:pPr>
      <w:proofErr w:type="spellStart"/>
      <w:r w:rsidRPr="00FA5B0B">
        <w:rPr>
          <w:rFonts w:eastAsia="Tahoma" w:cstheme="minorHAnsi"/>
          <w:szCs w:val="24"/>
        </w:rPr>
        <w:t>PKN-CEN</w:t>
      </w:r>
      <w:proofErr w:type="spellEnd"/>
      <w:r w:rsidRPr="00FA5B0B">
        <w:rPr>
          <w:rFonts w:eastAsia="Tahoma" w:cstheme="minorHAnsi"/>
          <w:szCs w:val="24"/>
        </w:rPr>
        <w:t>/TR 13201-1:2007 Oświetlenie dróg - Część 1. Wybór klas oświetlenia.</w:t>
      </w:r>
    </w:p>
    <w:p w:rsidR="00FA5B0B" w:rsidRPr="00FA5B0B" w:rsidRDefault="00FA5B0B" w:rsidP="00BC27C5">
      <w:pPr>
        <w:numPr>
          <w:ilvl w:val="0"/>
          <w:numId w:val="10"/>
        </w:numPr>
        <w:tabs>
          <w:tab w:val="clear" w:pos="284"/>
          <w:tab w:val="left" w:pos="567"/>
        </w:tabs>
        <w:spacing w:line="276" w:lineRule="auto"/>
        <w:ind w:left="282" w:hanging="282"/>
        <w:rPr>
          <w:rFonts w:eastAsia="Tahoma" w:cstheme="minorHAnsi"/>
          <w:szCs w:val="24"/>
        </w:rPr>
      </w:pPr>
      <w:r w:rsidRPr="00FA5B0B">
        <w:rPr>
          <w:rFonts w:eastAsia="Tahoma" w:cstheme="minorHAnsi"/>
          <w:szCs w:val="24"/>
        </w:rPr>
        <w:t>PN-EN 13201-2:2007 Oświetlenie dróg - Część 2. Wymagania oświetleniowe.</w:t>
      </w:r>
    </w:p>
    <w:p w:rsidR="00FA5B0B" w:rsidRPr="00FA5B0B" w:rsidRDefault="00FA5B0B" w:rsidP="00BC27C5">
      <w:pPr>
        <w:numPr>
          <w:ilvl w:val="0"/>
          <w:numId w:val="10"/>
        </w:numPr>
        <w:tabs>
          <w:tab w:val="clear" w:pos="284"/>
          <w:tab w:val="left" w:pos="567"/>
        </w:tabs>
        <w:spacing w:line="276" w:lineRule="auto"/>
        <w:ind w:left="2" w:right="1640" w:hanging="2"/>
        <w:rPr>
          <w:rFonts w:eastAsia="Tahoma" w:cstheme="minorHAnsi"/>
          <w:szCs w:val="24"/>
        </w:rPr>
      </w:pPr>
      <w:r w:rsidRPr="00FA5B0B">
        <w:rPr>
          <w:rFonts w:eastAsia="Tahoma" w:cstheme="minorHAnsi"/>
          <w:szCs w:val="24"/>
        </w:rPr>
        <w:t>PN-EN 13201-3:2007 Oświetlenie dróg - Część 3. Obliczenia parametrów oświetleniowych.</w:t>
      </w:r>
    </w:p>
    <w:p w:rsidR="00FA5B0B" w:rsidRPr="00FA5B0B" w:rsidRDefault="00FA5B0B" w:rsidP="00BC27C5">
      <w:pPr>
        <w:numPr>
          <w:ilvl w:val="0"/>
          <w:numId w:val="10"/>
        </w:numPr>
        <w:tabs>
          <w:tab w:val="clear" w:pos="284"/>
          <w:tab w:val="left" w:pos="567"/>
        </w:tabs>
        <w:spacing w:line="276" w:lineRule="auto"/>
        <w:ind w:left="2" w:right="540" w:hanging="2"/>
        <w:rPr>
          <w:rFonts w:eastAsia="Tahoma" w:cstheme="minorHAnsi"/>
          <w:szCs w:val="24"/>
        </w:rPr>
      </w:pPr>
      <w:r w:rsidRPr="00FA5B0B">
        <w:rPr>
          <w:rFonts w:eastAsia="Tahoma" w:cstheme="minorHAnsi"/>
          <w:szCs w:val="24"/>
        </w:rPr>
        <w:t>PN-B-06050:1999 Roboty ziemne budowlane. Wymagania w zakresie wykonywania badań przy odbiorze.</w:t>
      </w:r>
    </w:p>
    <w:p w:rsidR="00FA5B0B" w:rsidRPr="00FA5B0B" w:rsidRDefault="00FA5B0B" w:rsidP="00BC27C5">
      <w:pPr>
        <w:numPr>
          <w:ilvl w:val="0"/>
          <w:numId w:val="10"/>
        </w:numPr>
        <w:tabs>
          <w:tab w:val="clear" w:pos="284"/>
          <w:tab w:val="left" w:pos="567"/>
        </w:tabs>
        <w:spacing w:line="276" w:lineRule="auto"/>
        <w:ind w:left="282" w:hanging="282"/>
        <w:rPr>
          <w:rFonts w:eastAsia="Tahoma" w:cstheme="minorHAnsi"/>
          <w:szCs w:val="24"/>
        </w:rPr>
      </w:pPr>
      <w:r w:rsidRPr="00FA5B0B">
        <w:rPr>
          <w:rFonts w:eastAsia="Tahoma" w:cstheme="minorHAnsi"/>
          <w:szCs w:val="24"/>
        </w:rPr>
        <w:t>PN-EN 60598-1 Oprawy oświetleniowe - Część 1: Wymagania ogólne i badania.</w:t>
      </w:r>
    </w:p>
    <w:p w:rsidR="00FA5B0B" w:rsidRPr="00FA5B0B" w:rsidRDefault="00FA5B0B" w:rsidP="00BC27C5">
      <w:pPr>
        <w:numPr>
          <w:ilvl w:val="0"/>
          <w:numId w:val="10"/>
        </w:numPr>
        <w:tabs>
          <w:tab w:val="clear" w:pos="284"/>
          <w:tab w:val="left" w:pos="567"/>
        </w:tabs>
        <w:spacing w:line="276" w:lineRule="auto"/>
        <w:ind w:left="282" w:hanging="282"/>
        <w:rPr>
          <w:rFonts w:eastAsia="Tahoma" w:cstheme="minorHAnsi"/>
          <w:szCs w:val="24"/>
        </w:rPr>
      </w:pPr>
      <w:r w:rsidRPr="00FA5B0B">
        <w:rPr>
          <w:rFonts w:eastAsia="Tahoma" w:cstheme="minorHAnsi"/>
          <w:szCs w:val="24"/>
        </w:rPr>
        <w:t>PN-EN 40-1:2002 Słupy oświetleniowe - terminy i definicje</w:t>
      </w:r>
    </w:p>
    <w:p w:rsidR="00FA5B0B" w:rsidRPr="00FA5B0B" w:rsidRDefault="00FA5B0B" w:rsidP="00BC27C5">
      <w:pPr>
        <w:numPr>
          <w:ilvl w:val="0"/>
          <w:numId w:val="10"/>
        </w:numPr>
        <w:tabs>
          <w:tab w:val="clear" w:pos="284"/>
          <w:tab w:val="left" w:pos="567"/>
        </w:tabs>
        <w:spacing w:line="276" w:lineRule="auto"/>
        <w:ind w:left="262" w:hanging="262"/>
        <w:rPr>
          <w:rFonts w:eastAsia="Tahoma" w:cstheme="minorHAnsi"/>
          <w:szCs w:val="24"/>
        </w:rPr>
      </w:pPr>
      <w:r w:rsidRPr="00FA5B0B">
        <w:rPr>
          <w:rFonts w:eastAsia="Tahoma" w:cstheme="minorHAnsi"/>
          <w:szCs w:val="24"/>
        </w:rPr>
        <w:t>PN-EN 40-3:2004 Słupy oświetleniowe</w:t>
      </w:r>
    </w:p>
    <w:p w:rsidR="00FA5B0B" w:rsidRPr="00FA5B0B" w:rsidRDefault="00FA5B0B" w:rsidP="00BC27C5">
      <w:pPr>
        <w:numPr>
          <w:ilvl w:val="0"/>
          <w:numId w:val="10"/>
        </w:numPr>
        <w:tabs>
          <w:tab w:val="clear" w:pos="284"/>
          <w:tab w:val="left" w:pos="567"/>
        </w:tabs>
        <w:spacing w:line="276" w:lineRule="auto"/>
        <w:ind w:left="282" w:hanging="282"/>
        <w:rPr>
          <w:rFonts w:eastAsia="Tahoma" w:cstheme="minorHAnsi"/>
          <w:szCs w:val="24"/>
        </w:rPr>
      </w:pPr>
      <w:r w:rsidRPr="00FA5B0B">
        <w:rPr>
          <w:rFonts w:eastAsia="Tahoma" w:cstheme="minorHAnsi"/>
          <w:szCs w:val="24"/>
        </w:rPr>
        <w:t>PN-EN 40-5:2004 Słupy oświetleniowe</w:t>
      </w:r>
    </w:p>
    <w:p w:rsidR="00FA5B0B" w:rsidRPr="00FA5B0B" w:rsidRDefault="00FA5B0B" w:rsidP="00BC27C5">
      <w:pPr>
        <w:numPr>
          <w:ilvl w:val="0"/>
          <w:numId w:val="10"/>
        </w:numPr>
        <w:tabs>
          <w:tab w:val="clear" w:pos="284"/>
          <w:tab w:val="left" w:pos="567"/>
        </w:tabs>
        <w:spacing w:line="276" w:lineRule="auto"/>
        <w:ind w:left="282" w:hanging="282"/>
        <w:rPr>
          <w:rFonts w:eastAsia="Tahoma" w:cstheme="minorHAnsi"/>
          <w:szCs w:val="24"/>
        </w:rPr>
      </w:pPr>
      <w:r w:rsidRPr="00FA5B0B">
        <w:rPr>
          <w:rFonts w:eastAsia="Tahoma" w:cstheme="minorHAnsi"/>
          <w:szCs w:val="24"/>
        </w:rPr>
        <w:t>PN-EN 60904-1:2007 Elementy fotowoltaiczne</w:t>
      </w:r>
    </w:p>
    <w:p w:rsidR="00FA5B0B" w:rsidRPr="00FA5B0B" w:rsidRDefault="00FA5B0B" w:rsidP="00BC27C5">
      <w:pPr>
        <w:numPr>
          <w:ilvl w:val="0"/>
          <w:numId w:val="10"/>
        </w:numPr>
        <w:tabs>
          <w:tab w:val="clear" w:pos="284"/>
        </w:tabs>
        <w:spacing w:line="276" w:lineRule="auto"/>
        <w:ind w:left="422" w:hanging="422"/>
        <w:rPr>
          <w:rFonts w:eastAsia="Tahoma" w:cstheme="minorHAnsi"/>
          <w:szCs w:val="24"/>
        </w:rPr>
      </w:pPr>
      <w:r w:rsidRPr="00FA5B0B">
        <w:rPr>
          <w:rFonts w:eastAsia="Tahoma" w:cstheme="minorHAnsi"/>
          <w:szCs w:val="24"/>
        </w:rPr>
        <w:t>PN-EN 61215:2005 Naziemne moduły fotowoltaiczne (PV) z krzemu krystalicznego</w:t>
      </w:r>
    </w:p>
    <w:p w:rsidR="00FA5B0B" w:rsidRDefault="00FA5B0B" w:rsidP="00BC27C5">
      <w:pPr>
        <w:numPr>
          <w:ilvl w:val="0"/>
          <w:numId w:val="10"/>
        </w:numPr>
        <w:tabs>
          <w:tab w:val="clear" w:pos="284"/>
        </w:tabs>
        <w:spacing w:line="276" w:lineRule="auto"/>
        <w:ind w:left="567" w:hanging="567"/>
        <w:rPr>
          <w:rFonts w:eastAsia="Tahoma" w:cstheme="minorHAnsi"/>
          <w:szCs w:val="24"/>
        </w:rPr>
      </w:pPr>
      <w:r w:rsidRPr="00FA5B0B">
        <w:rPr>
          <w:rFonts w:eastAsia="Tahoma" w:cstheme="minorHAnsi"/>
          <w:szCs w:val="24"/>
        </w:rPr>
        <w:t>PN-EN 61727:2002 Systemy fotowoltaiczne (PV)</w:t>
      </w:r>
    </w:p>
    <w:p w:rsidR="00FA5B0B" w:rsidRDefault="00FA5B0B">
      <w:pPr>
        <w:tabs>
          <w:tab w:val="clear" w:pos="284"/>
        </w:tabs>
        <w:spacing w:after="200" w:line="276" w:lineRule="auto"/>
        <w:jc w:val="left"/>
        <w:rPr>
          <w:rFonts w:eastAsia="Tahoma" w:cstheme="minorHAnsi"/>
          <w:szCs w:val="24"/>
        </w:rPr>
      </w:pPr>
      <w:r>
        <w:rPr>
          <w:rFonts w:eastAsia="Tahoma" w:cstheme="minorHAnsi"/>
          <w:szCs w:val="24"/>
        </w:rPr>
        <w:br w:type="page"/>
      </w:r>
    </w:p>
    <w:p w:rsidR="00FA5B0B" w:rsidRPr="00FA5B0B" w:rsidRDefault="00FA5B0B" w:rsidP="00FA5B0B">
      <w:pPr>
        <w:tabs>
          <w:tab w:val="clear" w:pos="284"/>
        </w:tabs>
        <w:spacing w:line="276" w:lineRule="auto"/>
        <w:ind w:left="567"/>
        <w:rPr>
          <w:rFonts w:eastAsia="Tahoma" w:cstheme="minorHAnsi"/>
          <w:szCs w:val="24"/>
        </w:rPr>
      </w:pPr>
    </w:p>
    <w:sectPr w:rsidR="00FA5B0B" w:rsidRPr="00FA5B0B" w:rsidSect="00B840D4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1247" w:bottom="1247" w:left="1418" w:header="709" w:footer="709" w:gutter="0"/>
      <w:pgNumType w:start="24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27C5" w:rsidRDefault="00BC27C5" w:rsidP="0065729C">
      <w:pPr>
        <w:spacing w:line="240" w:lineRule="auto"/>
      </w:pPr>
      <w:r>
        <w:separator/>
      </w:r>
    </w:p>
  </w:endnote>
  <w:endnote w:type="continuationSeparator" w:id="0">
    <w:p w:rsidR="00BC27C5" w:rsidRDefault="00BC27C5" w:rsidP="0065729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0454550"/>
      <w:docPartObj>
        <w:docPartGallery w:val="Page Numbers (Bottom of Page)"/>
        <w:docPartUnique/>
      </w:docPartObj>
    </w:sdtPr>
    <w:sdtContent>
      <w:p w:rsidR="00043540" w:rsidRDefault="00043540" w:rsidP="00EB4723">
        <w:pPr>
          <w:pStyle w:val="Stopka"/>
          <w:pBdr>
            <w:top w:val="single" w:sz="4" w:space="1" w:color="auto"/>
          </w:pBdr>
        </w:pPr>
        <w:fldSimple w:instr="PAGE   \* MERGEFORMAT">
          <w:r w:rsidR="00FA5B0B">
            <w:rPr>
              <w:noProof/>
            </w:rPr>
            <w:t>254</w:t>
          </w:r>
        </w:fldSimple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0454551"/>
      <w:docPartObj>
        <w:docPartGallery w:val="Page Numbers (Bottom of Page)"/>
        <w:docPartUnique/>
      </w:docPartObj>
    </w:sdtPr>
    <w:sdtContent>
      <w:p w:rsidR="00043540" w:rsidRDefault="00043540" w:rsidP="00EB4723">
        <w:pPr>
          <w:pStyle w:val="Stopka"/>
          <w:pBdr>
            <w:top w:val="single" w:sz="4" w:space="1" w:color="auto"/>
          </w:pBdr>
          <w:jc w:val="right"/>
        </w:pPr>
        <w:fldSimple w:instr="PAGE   \* MERGEFORMAT">
          <w:r w:rsidR="00FA5B0B">
            <w:rPr>
              <w:noProof/>
            </w:rPr>
            <w:t>253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27C5" w:rsidRDefault="00BC27C5" w:rsidP="0065729C">
      <w:pPr>
        <w:spacing w:line="240" w:lineRule="auto"/>
      </w:pPr>
      <w:r>
        <w:separator/>
      </w:r>
    </w:p>
  </w:footnote>
  <w:footnote w:type="continuationSeparator" w:id="0">
    <w:p w:rsidR="00BC27C5" w:rsidRDefault="00BC27C5" w:rsidP="0065729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540" w:rsidRDefault="00043540" w:rsidP="0065729C">
    <w:pPr>
      <w:spacing w:line="240" w:lineRule="auto"/>
      <w:jc w:val="right"/>
      <w:rPr>
        <w:rFonts w:ascii="Times New Roman" w:hAnsi="Times New Roman"/>
        <w:b/>
        <w:szCs w:val="20"/>
      </w:rPr>
    </w:pP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-30480</wp:posOffset>
          </wp:positionH>
          <wp:positionV relativeFrom="paragraph">
            <wp:posOffset>-120650</wp:posOffset>
          </wp:positionV>
          <wp:extent cx="1591945" cy="1456690"/>
          <wp:effectExtent l="0" t="0" r="0" b="0"/>
          <wp:wrapNone/>
          <wp:docPr id="1" name="Obraz 1" descr="Opis: C:\Users\User\Desktop\BPB\logo wspólne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pis: C:\Users\User\Desktop\BPB\logo wspólne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945" cy="1456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hAnsi="Times New Roman"/>
        <w:b/>
        <w:szCs w:val="20"/>
      </w:rPr>
      <w:t>Biuro Projektów Budowlanych</w:t>
    </w:r>
  </w:p>
  <w:p w:rsidR="00043540" w:rsidRDefault="00043540" w:rsidP="0065729C">
    <w:pPr>
      <w:spacing w:line="240" w:lineRule="auto"/>
      <w:jc w:val="right"/>
      <w:rPr>
        <w:rFonts w:ascii="Times New Roman" w:hAnsi="Times New Roman"/>
        <w:b/>
        <w:szCs w:val="20"/>
      </w:rPr>
    </w:pPr>
    <w:r>
      <w:rPr>
        <w:rFonts w:ascii="Times New Roman" w:hAnsi="Times New Roman"/>
        <w:b/>
        <w:szCs w:val="20"/>
      </w:rPr>
      <w:t>Anna Grenda – Wołkow</w:t>
    </w:r>
  </w:p>
  <w:p w:rsidR="00043540" w:rsidRDefault="00043540" w:rsidP="0065729C">
    <w:pPr>
      <w:spacing w:line="240" w:lineRule="auto"/>
      <w:jc w:val="right"/>
      <w:rPr>
        <w:rFonts w:ascii="Times New Roman" w:hAnsi="Times New Roman"/>
        <w:szCs w:val="20"/>
      </w:rPr>
    </w:pPr>
    <w:r>
      <w:rPr>
        <w:rFonts w:ascii="Times New Roman" w:hAnsi="Times New Roman"/>
        <w:szCs w:val="20"/>
      </w:rPr>
      <w:t>ul. Trakt 31; 87-140 Chełmża</w:t>
    </w:r>
  </w:p>
  <w:p w:rsidR="00043540" w:rsidRPr="00043540" w:rsidRDefault="00043540" w:rsidP="0065729C">
    <w:pPr>
      <w:pBdr>
        <w:bottom w:val="single" w:sz="4" w:space="1" w:color="auto"/>
      </w:pBdr>
      <w:tabs>
        <w:tab w:val="left" w:pos="405"/>
        <w:tab w:val="right" w:pos="9072"/>
      </w:tabs>
      <w:spacing w:after="240" w:line="360" w:lineRule="auto"/>
      <w:jc w:val="right"/>
      <w:rPr>
        <w:rFonts w:ascii="Times New Roman" w:hAnsi="Times New Roman"/>
        <w:szCs w:val="20"/>
        <w:lang w:val="en-US"/>
      </w:rPr>
    </w:pPr>
    <w:r>
      <w:rPr>
        <w:rFonts w:ascii="Times New Roman" w:hAnsi="Times New Roman"/>
        <w:szCs w:val="20"/>
        <w:lang w:val="en-US"/>
      </w:rPr>
      <w:t xml:space="preserve">Tel. 723-071-098 ; e-mail: </w:t>
    </w:r>
    <w:hyperlink r:id="rId2" w:history="1">
      <w:r w:rsidRPr="00043540">
        <w:rPr>
          <w:rStyle w:val="Hipercze"/>
          <w:rFonts w:ascii="Times New Roman" w:hAnsi="Times New Roman"/>
          <w:color w:val="auto"/>
          <w:lang w:val="en-US"/>
        </w:rPr>
        <w:t>biuro@bpb.net.pl</w:t>
      </w:r>
    </w:hyperlink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540" w:rsidRDefault="00043540" w:rsidP="0065729C">
    <w:pPr>
      <w:spacing w:line="240" w:lineRule="auto"/>
      <w:jc w:val="right"/>
      <w:rPr>
        <w:rFonts w:ascii="Times New Roman" w:hAnsi="Times New Roman"/>
        <w:b/>
        <w:szCs w:val="20"/>
      </w:rPr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-30480</wp:posOffset>
          </wp:positionH>
          <wp:positionV relativeFrom="paragraph">
            <wp:posOffset>-120650</wp:posOffset>
          </wp:positionV>
          <wp:extent cx="1591945" cy="1456690"/>
          <wp:effectExtent l="0" t="0" r="0" b="0"/>
          <wp:wrapNone/>
          <wp:docPr id="2" name="Obraz 2" descr="Opis: C:\Users\User\Desktop\BPB\logo wspólne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pis: C:\Users\User\Desktop\BPB\logo wspólne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945" cy="1456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hAnsi="Times New Roman"/>
        <w:b/>
        <w:szCs w:val="20"/>
      </w:rPr>
      <w:t>Biuro Projektów Budowlanych</w:t>
    </w:r>
  </w:p>
  <w:p w:rsidR="00043540" w:rsidRDefault="00043540" w:rsidP="0065729C">
    <w:pPr>
      <w:spacing w:line="240" w:lineRule="auto"/>
      <w:jc w:val="right"/>
      <w:rPr>
        <w:rFonts w:ascii="Times New Roman" w:hAnsi="Times New Roman"/>
        <w:b/>
        <w:szCs w:val="20"/>
      </w:rPr>
    </w:pPr>
    <w:r>
      <w:rPr>
        <w:rFonts w:ascii="Times New Roman" w:hAnsi="Times New Roman"/>
        <w:b/>
        <w:szCs w:val="20"/>
      </w:rPr>
      <w:t>Anna Grenda – Wołkow</w:t>
    </w:r>
  </w:p>
  <w:p w:rsidR="00043540" w:rsidRDefault="00043540" w:rsidP="0065729C">
    <w:pPr>
      <w:spacing w:line="240" w:lineRule="auto"/>
      <w:jc w:val="right"/>
      <w:rPr>
        <w:rFonts w:ascii="Times New Roman" w:hAnsi="Times New Roman"/>
        <w:szCs w:val="20"/>
      </w:rPr>
    </w:pPr>
    <w:r>
      <w:rPr>
        <w:rFonts w:ascii="Times New Roman" w:hAnsi="Times New Roman"/>
        <w:szCs w:val="20"/>
      </w:rPr>
      <w:t>ul. Trakt 31; 87-140 Chełmża</w:t>
    </w:r>
  </w:p>
  <w:p w:rsidR="00043540" w:rsidRPr="0065729C" w:rsidRDefault="00043540" w:rsidP="0065729C">
    <w:pPr>
      <w:pBdr>
        <w:bottom w:val="single" w:sz="4" w:space="1" w:color="auto"/>
      </w:pBdr>
      <w:tabs>
        <w:tab w:val="left" w:pos="405"/>
        <w:tab w:val="right" w:pos="9072"/>
      </w:tabs>
      <w:spacing w:after="240" w:line="360" w:lineRule="auto"/>
      <w:jc w:val="right"/>
      <w:rPr>
        <w:rFonts w:ascii="Times New Roman" w:hAnsi="Times New Roman"/>
        <w:szCs w:val="20"/>
        <w:lang w:val="en-US"/>
      </w:rPr>
    </w:pPr>
    <w:r>
      <w:rPr>
        <w:rFonts w:ascii="Times New Roman" w:hAnsi="Times New Roman"/>
        <w:szCs w:val="20"/>
        <w:lang w:val="en-US"/>
      </w:rPr>
      <w:t xml:space="preserve">Tel. 723-071-098 ; e-mail: </w:t>
    </w:r>
    <w:hyperlink r:id="rId2" w:history="1">
      <w:r>
        <w:rPr>
          <w:rStyle w:val="Hipercze"/>
          <w:rFonts w:ascii="Times New Roman" w:hAnsi="Times New Roman"/>
          <w:color w:val="000000" w:themeColor="text1"/>
          <w:lang w:val="en-US"/>
        </w:rPr>
        <w:t>biuro@bpb.net.pl</w:t>
      </w:r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B0D2C"/>
    <w:multiLevelType w:val="hybridMultilevel"/>
    <w:tmpl w:val="FC52830A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3F0B83"/>
    <w:multiLevelType w:val="hybridMultilevel"/>
    <w:tmpl w:val="70829FC8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0A3C5F"/>
    <w:multiLevelType w:val="hybridMultilevel"/>
    <w:tmpl w:val="CFE2B0EC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0828D5"/>
    <w:multiLevelType w:val="multilevel"/>
    <w:tmpl w:val="81ECAA4A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pStyle w:val="Nagwek2"/>
      <w:lvlText w:val="%1.%2.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pStyle w:val="Nagwek3"/>
      <w:lvlText w:val="%1.%2.%3."/>
      <w:lvlJc w:val="left"/>
      <w:pPr>
        <w:ind w:left="1004" w:hanging="720"/>
      </w:pPr>
      <w:rPr>
        <w:rFonts w:asciiTheme="minorHAnsi" w:hAnsiTheme="minorHAns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pStyle w:val="Nagwek4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4">
    <w:nsid w:val="3BCE0EC2"/>
    <w:multiLevelType w:val="hybridMultilevel"/>
    <w:tmpl w:val="CCBA8E0A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1BD7B7"/>
    <w:multiLevelType w:val="hybridMultilevel"/>
    <w:tmpl w:val="D5C45978"/>
    <w:lvl w:ilvl="0" w:tplc="B0DEE5F0">
      <w:start w:val="1"/>
      <w:numFmt w:val="decimal"/>
      <w:lvlText w:val="%1."/>
      <w:lvlJc w:val="left"/>
    </w:lvl>
    <w:lvl w:ilvl="1" w:tplc="CB24972A">
      <w:numFmt w:val="decimal"/>
      <w:lvlText w:val=""/>
      <w:lvlJc w:val="left"/>
    </w:lvl>
    <w:lvl w:ilvl="2" w:tplc="B84CCBDC">
      <w:numFmt w:val="decimal"/>
      <w:lvlText w:val=""/>
      <w:lvlJc w:val="left"/>
    </w:lvl>
    <w:lvl w:ilvl="3" w:tplc="5C06F04A">
      <w:numFmt w:val="decimal"/>
      <w:lvlText w:val=""/>
      <w:lvlJc w:val="left"/>
    </w:lvl>
    <w:lvl w:ilvl="4" w:tplc="ECBA2BB2">
      <w:numFmt w:val="decimal"/>
      <w:lvlText w:val=""/>
      <w:lvlJc w:val="left"/>
    </w:lvl>
    <w:lvl w:ilvl="5" w:tplc="AC164C1E">
      <w:numFmt w:val="decimal"/>
      <w:lvlText w:val=""/>
      <w:lvlJc w:val="left"/>
    </w:lvl>
    <w:lvl w:ilvl="6" w:tplc="822C5DBC">
      <w:numFmt w:val="decimal"/>
      <w:lvlText w:val=""/>
      <w:lvlJc w:val="left"/>
    </w:lvl>
    <w:lvl w:ilvl="7" w:tplc="536A660A">
      <w:numFmt w:val="decimal"/>
      <w:lvlText w:val=""/>
      <w:lvlJc w:val="left"/>
    </w:lvl>
    <w:lvl w:ilvl="8" w:tplc="1FD0F108">
      <w:numFmt w:val="decimal"/>
      <w:lvlText w:val=""/>
      <w:lvlJc w:val="left"/>
    </w:lvl>
  </w:abstractNum>
  <w:abstractNum w:abstractNumId="6">
    <w:nsid w:val="44D97D2A"/>
    <w:multiLevelType w:val="hybridMultilevel"/>
    <w:tmpl w:val="583082C2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0471A7"/>
    <w:multiLevelType w:val="hybridMultilevel"/>
    <w:tmpl w:val="A54A864C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885A2A"/>
    <w:multiLevelType w:val="hybridMultilevel"/>
    <w:tmpl w:val="8E9A2042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A84B72"/>
    <w:multiLevelType w:val="hybridMultilevel"/>
    <w:tmpl w:val="A5D2D85A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102AE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6"/>
  </w:num>
  <w:num w:numId="5">
    <w:abstractNumId w:val="9"/>
  </w:num>
  <w:num w:numId="6">
    <w:abstractNumId w:val="4"/>
  </w:num>
  <w:num w:numId="7">
    <w:abstractNumId w:val="0"/>
  </w:num>
  <w:num w:numId="8">
    <w:abstractNumId w:val="1"/>
  </w:num>
  <w:num w:numId="9">
    <w:abstractNumId w:val="8"/>
  </w:num>
  <w:num w:numId="10">
    <w:abstractNumId w:val="5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proofState w:spelling="clean"/>
  <w:defaultTabStop w:val="709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5EFC"/>
    <w:rsid w:val="00006172"/>
    <w:rsid w:val="00043540"/>
    <w:rsid w:val="000567EB"/>
    <w:rsid w:val="00063D49"/>
    <w:rsid w:val="000941FF"/>
    <w:rsid w:val="00094A75"/>
    <w:rsid w:val="000A14EB"/>
    <w:rsid w:val="000B673F"/>
    <w:rsid w:val="000D33D9"/>
    <w:rsid w:val="000F408B"/>
    <w:rsid w:val="000F5A2C"/>
    <w:rsid w:val="0010204C"/>
    <w:rsid w:val="001111E2"/>
    <w:rsid w:val="0011633E"/>
    <w:rsid w:val="0012095E"/>
    <w:rsid w:val="00121BED"/>
    <w:rsid w:val="00165E1D"/>
    <w:rsid w:val="001819AF"/>
    <w:rsid w:val="001828D1"/>
    <w:rsid w:val="00197C06"/>
    <w:rsid w:val="001B049D"/>
    <w:rsid w:val="001B5CBA"/>
    <w:rsid w:val="001C5F5D"/>
    <w:rsid w:val="001C7D04"/>
    <w:rsid w:val="001D5FCA"/>
    <w:rsid w:val="001E2FD6"/>
    <w:rsid w:val="001F13BA"/>
    <w:rsid w:val="00201A40"/>
    <w:rsid w:val="00204A00"/>
    <w:rsid w:val="00206DDA"/>
    <w:rsid w:val="0021131E"/>
    <w:rsid w:val="00212A86"/>
    <w:rsid w:val="002148B2"/>
    <w:rsid w:val="00217268"/>
    <w:rsid w:val="00247944"/>
    <w:rsid w:val="002622A5"/>
    <w:rsid w:val="00272089"/>
    <w:rsid w:val="002A09F3"/>
    <w:rsid w:val="002A4B44"/>
    <w:rsid w:val="002B0706"/>
    <w:rsid w:val="002B18BA"/>
    <w:rsid w:val="002B4465"/>
    <w:rsid w:val="002B5163"/>
    <w:rsid w:val="002B7EA2"/>
    <w:rsid w:val="002C0C2F"/>
    <w:rsid w:val="002D2E6E"/>
    <w:rsid w:val="002E5E2B"/>
    <w:rsid w:val="002E5EFC"/>
    <w:rsid w:val="002E650F"/>
    <w:rsid w:val="002F6571"/>
    <w:rsid w:val="00315FE6"/>
    <w:rsid w:val="00320602"/>
    <w:rsid w:val="00356674"/>
    <w:rsid w:val="00376C88"/>
    <w:rsid w:val="00390B72"/>
    <w:rsid w:val="003A4335"/>
    <w:rsid w:val="003A512B"/>
    <w:rsid w:val="003A764C"/>
    <w:rsid w:val="003A7E2E"/>
    <w:rsid w:val="003B1D49"/>
    <w:rsid w:val="003B3AB8"/>
    <w:rsid w:val="00404528"/>
    <w:rsid w:val="00427399"/>
    <w:rsid w:val="00430717"/>
    <w:rsid w:val="00432AF0"/>
    <w:rsid w:val="00433A61"/>
    <w:rsid w:val="00434A1D"/>
    <w:rsid w:val="00437271"/>
    <w:rsid w:val="0044044F"/>
    <w:rsid w:val="004422E8"/>
    <w:rsid w:val="00446F2B"/>
    <w:rsid w:val="00452076"/>
    <w:rsid w:val="00464D5F"/>
    <w:rsid w:val="00471B1A"/>
    <w:rsid w:val="00472BDF"/>
    <w:rsid w:val="004B3DCD"/>
    <w:rsid w:val="004B5428"/>
    <w:rsid w:val="004D4A4B"/>
    <w:rsid w:val="004E208C"/>
    <w:rsid w:val="004E328F"/>
    <w:rsid w:val="004E7CFF"/>
    <w:rsid w:val="004F2BEC"/>
    <w:rsid w:val="00505D13"/>
    <w:rsid w:val="00506D10"/>
    <w:rsid w:val="00514475"/>
    <w:rsid w:val="00514F0E"/>
    <w:rsid w:val="005206A1"/>
    <w:rsid w:val="0054547B"/>
    <w:rsid w:val="00551F48"/>
    <w:rsid w:val="00561743"/>
    <w:rsid w:val="005621F3"/>
    <w:rsid w:val="00584851"/>
    <w:rsid w:val="005A142A"/>
    <w:rsid w:val="005A3D91"/>
    <w:rsid w:val="005B42EE"/>
    <w:rsid w:val="005D032E"/>
    <w:rsid w:val="005D42EB"/>
    <w:rsid w:val="005D6446"/>
    <w:rsid w:val="005E6196"/>
    <w:rsid w:val="005F047B"/>
    <w:rsid w:val="00605180"/>
    <w:rsid w:val="006231EB"/>
    <w:rsid w:val="00631F9F"/>
    <w:rsid w:val="00633FE4"/>
    <w:rsid w:val="006418B6"/>
    <w:rsid w:val="00652279"/>
    <w:rsid w:val="0065729C"/>
    <w:rsid w:val="00666F69"/>
    <w:rsid w:val="0067442A"/>
    <w:rsid w:val="006772E3"/>
    <w:rsid w:val="006A6FA8"/>
    <w:rsid w:val="006C1A60"/>
    <w:rsid w:val="006C5ED4"/>
    <w:rsid w:val="006E1411"/>
    <w:rsid w:val="006E2F3D"/>
    <w:rsid w:val="006E733E"/>
    <w:rsid w:val="006F2C57"/>
    <w:rsid w:val="0070236A"/>
    <w:rsid w:val="00730067"/>
    <w:rsid w:val="007330FB"/>
    <w:rsid w:val="00736ADE"/>
    <w:rsid w:val="0074748B"/>
    <w:rsid w:val="00757A3B"/>
    <w:rsid w:val="00774BF5"/>
    <w:rsid w:val="00796D83"/>
    <w:rsid w:val="007B3B52"/>
    <w:rsid w:val="007B7F08"/>
    <w:rsid w:val="007C0F8E"/>
    <w:rsid w:val="007E2642"/>
    <w:rsid w:val="007E39DB"/>
    <w:rsid w:val="007F0E15"/>
    <w:rsid w:val="00800DCB"/>
    <w:rsid w:val="00805B52"/>
    <w:rsid w:val="00812C1E"/>
    <w:rsid w:val="0081633E"/>
    <w:rsid w:val="008176AB"/>
    <w:rsid w:val="008334E8"/>
    <w:rsid w:val="00847A6E"/>
    <w:rsid w:val="00894425"/>
    <w:rsid w:val="00895147"/>
    <w:rsid w:val="00896C20"/>
    <w:rsid w:val="008B7464"/>
    <w:rsid w:val="008C1467"/>
    <w:rsid w:val="008C5C51"/>
    <w:rsid w:val="008C7FE4"/>
    <w:rsid w:val="008D08AD"/>
    <w:rsid w:val="008E2F6E"/>
    <w:rsid w:val="008E43C7"/>
    <w:rsid w:val="008E5159"/>
    <w:rsid w:val="008E77D7"/>
    <w:rsid w:val="00913057"/>
    <w:rsid w:val="00931A4E"/>
    <w:rsid w:val="009336AB"/>
    <w:rsid w:val="0094687A"/>
    <w:rsid w:val="00952367"/>
    <w:rsid w:val="00952AA6"/>
    <w:rsid w:val="00963C7F"/>
    <w:rsid w:val="00974025"/>
    <w:rsid w:val="009A5CD2"/>
    <w:rsid w:val="009B06D6"/>
    <w:rsid w:val="009F082D"/>
    <w:rsid w:val="009F0A61"/>
    <w:rsid w:val="009F2CA8"/>
    <w:rsid w:val="009F6222"/>
    <w:rsid w:val="00A02A5F"/>
    <w:rsid w:val="00A05589"/>
    <w:rsid w:val="00A06101"/>
    <w:rsid w:val="00A16E2E"/>
    <w:rsid w:val="00A2364F"/>
    <w:rsid w:val="00A61343"/>
    <w:rsid w:val="00A63DB9"/>
    <w:rsid w:val="00A72860"/>
    <w:rsid w:val="00A8124A"/>
    <w:rsid w:val="00A90F32"/>
    <w:rsid w:val="00A91A0B"/>
    <w:rsid w:val="00AC023C"/>
    <w:rsid w:val="00AD5D32"/>
    <w:rsid w:val="00AD718E"/>
    <w:rsid w:val="00AF1E06"/>
    <w:rsid w:val="00B33930"/>
    <w:rsid w:val="00B40A43"/>
    <w:rsid w:val="00B45E3A"/>
    <w:rsid w:val="00B534C3"/>
    <w:rsid w:val="00B53AD6"/>
    <w:rsid w:val="00B718C5"/>
    <w:rsid w:val="00B76A35"/>
    <w:rsid w:val="00B8167B"/>
    <w:rsid w:val="00B840D4"/>
    <w:rsid w:val="00B86B2C"/>
    <w:rsid w:val="00B91354"/>
    <w:rsid w:val="00B91F51"/>
    <w:rsid w:val="00B955CB"/>
    <w:rsid w:val="00BA3B5F"/>
    <w:rsid w:val="00BA6A8C"/>
    <w:rsid w:val="00BC1D8F"/>
    <w:rsid w:val="00BC26FD"/>
    <w:rsid w:val="00BC27C5"/>
    <w:rsid w:val="00BC294B"/>
    <w:rsid w:val="00BD3220"/>
    <w:rsid w:val="00C037C5"/>
    <w:rsid w:val="00C05FEA"/>
    <w:rsid w:val="00C17A70"/>
    <w:rsid w:val="00C210A4"/>
    <w:rsid w:val="00C231B6"/>
    <w:rsid w:val="00C27CDD"/>
    <w:rsid w:val="00C42C39"/>
    <w:rsid w:val="00C510B8"/>
    <w:rsid w:val="00C65E6A"/>
    <w:rsid w:val="00C77F8A"/>
    <w:rsid w:val="00CA5C51"/>
    <w:rsid w:val="00CB3768"/>
    <w:rsid w:val="00CB4176"/>
    <w:rsid w:val="00CC4B16"/>
    <w:rsid w:val="00CD09E5"/>
    <w:rsid w:val="00CE2AFA"/>
    <w:rsid w:val="00CE4244"/>
    <w:rsid w:val="00CF2DD6"/>
    <w:rsid w:val="00D01BD2"/>
    <w:rsid w:val="00D14D6E"/>
    <w:rsid w:val="00D33326"/>
    <w:rsid w:val="00D56F8F"/>
    <w:rsid w:val="00D7065F"/>
    <w:rsid w:val="00D96EC5"/>
    <w:rsid w:val="00DA470D"/>
    <w:rsid w:val="00DB0BB2"/>
    <w:rsid w:val="00DC4EFA"/>
    <w:rsid w:val="00DE0724"/>
    <w:rsid w:val="00E032BD"/>
    <w:rsid w:val="00E21FE3"/>
    <w:rsid w:val="00E25CA3"/>
    <w:rsid w:val="00E41016"/>
    <w:rsid w:val="00E52A0C"/>
    <w:rsid w:val="00E61392"/>
    <w:rsid w:val="00E6141F"/>
    <w:rsid w:val="00E76829"/>
    <w:rsid w:val="00E80914"/>
    <w:rsid w:val="00E8290C"/>
    <w:rsid w:val="00E82DBB"/>
    <w:rsid w:val="00E91659"/>
    <w:rsid w:val="00EA2375"/>
    <w:rsid w:val="00EB4723"/>
    <w:rsid w:val="00ED60DF"/>
    <w:rsid w:val="00EF0147"/>
    <w:rsid w:val="00EF35C4"/>
    <w:rsid w:val="00EF3F1E"/>
    <w:rsid w:val="00F07CB9"/>
    <w:rsid w:val="00F24618"/>
    <w:rsid w:val="00F26524"/>
    <w:rsid w:val="00F27636"/>
    <w:rsid w:val="00F437FB"/>
    <w:rsid w:val="00F44C5F"/>
    <w:rsid w:val="00F50EB3"/>
    <w:rsid w:val="00F630E7"/>
    <w:rsid w:val="00F717DC"/>
    <w:rsid w:val="00F73611"/>
    <w:rsid w:val="00FA5B0B"/>
    <w:rsid w:val="00FB6328"/>
    <w:rsid w:val="00FC4F01"/>
    <w:rsid w:val="00FE6864"/>
    <w:rsid w:val="00FE7D40"/>
    <w:rsid w:val="00FF2DCD"/>
    <w:rsid w:val="00FF570D"/>
    <w:rsid w:val="00FF7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05B52"/>
    <w:pPr>
      <w:tabs>
        <w:tab w:val="left" w:pos="284"/>
      </w:tabs>
      <w:spacing w:after="0" w:line="336" w:lineRule="auto"/>
      <w:jc w:val="both"/>
    </w:pPr>
    <w:rPr>
      <w:rFonts w:cs="Times-Roman"/>
      <w:sz w:val="20"/>
    </w:rPr>
  </w:style>
  <w:style w:type="paragraph" w:styleId="Nagwek1">
    <w:name w:val="heading 1"/>
    <w:basedOn w:val="Normalny"/>
    <w:next w:val="Normalny"/>
    <w:link w:val="Nagwek1Znak"/>
    <w:qFormat/>
    <w:rsid w:val="0094687A"/>
    <w:pPr>
      <w:keepNext/>
      <w:widowControl w:val="0"/>
      <w:numPr>
        <w:numId w:val="1"/>
      </w:numPr>
      <w:autoSpaceDE w:val="0"/>
      <w:autoSpaceDN w:val="0"/>
      <w:adjustRightInd w:val="0"/>
      <w:spacing w:before="240"/>
      <w:ind w:left="357" w:right="3402" w:hanging="357"/>
      <w:outlineLvl w:val="0"/>
    </w:pPr>
    <w:rPr>
      <w:rFonts w:eastAsia="Times New Roman" w:cs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4D4A4B"/>
    <w:pPr>
      <w:keepNext/>
      <w:numPr>
        <w:ilvl w:val="1"/>
        <w:numId w:val="1"/>
      </w:numPr>
      <w:spacing w:before="120" w:after="60"/>
      <w:ind w:left="715" w:hanging="505"/>
      <w:outlineLvl w:val="1"/>
    </w:pPr>
    <w:rPr>
      <w:rFonts w:eastAsia="TimesNewRoman,Bold" w:cs="TimesNewRoman,Bold"/>
      <w:b/>
      <w:bCs/>
      <w:iCs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805B52"/>
    <w:pPr>
      <w:keepNext/>
      <w:numPr>
        <w:ilvl w:val="2"/>
        <w:numId w:val="1"/>
      </w:numPr>
      <w:tabs>
        <w:tab w:val="clear" w:pos="284"/>
      </w:tabs>
      <w:spacing w:before="120" w:after="60" w:line="300" w:lineRule="auto"/>
      <w:outlineLvl w:val="2"/>
    </w:pPr>
    <w:rPr>
      <w:rFonts w:eastAsia="Times New Roman" w:cs="Times New Roman"/>
      <w:bCs/>
      <w:szCs w:val="26"/>
      <w:lang w:eastAsia="pl-PL"/>
    </w:rPr>
  </w:style>
  <w:style w:type="paragraph" w:styleId="Nagwek4">
    <w:name w:val="heading 4"/>
    <w:basedOn w:val="Akapitzlist"/>
    <w:next w:val="Normalny"/>
    <w:link w:val="Nagwek4Znak"/>
    <w:uiPriority w:val="9"/>
    <w:unhideWhenUsed/>
    <w:qFormat/>
    <w:rsid w:val="001828D1"/>
    <w:pPr>
      <w:numPr>
        <w:ilvl w:val="3"/>
        <w:numId w:val="1"/>
      </w:numPr>
      <w:spacing w:before="120" w:after="60"/>
      <w:ind w:left="1145"/>
      <w:outlineLvl w:val="3"/>
    </w:p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43727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727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727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72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727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1"/>
    <w:qFormat/>
    <w:rsid w:val="002E5EF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94687A"/>
    <w:rPr>
      <w:rFonts w:eastAsia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4D4A4B"/>
    <w:rPr>
      <w:rFonts w:eastAsia="TimesNewRoman,Bold" w:cs="TimesNewRoman,Bold"/>
      <w:b/>
      <w:bCs/>
      <w:iCs/>
      <w:sz w:val="20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805B52"/>
    <w:rPr>
      <w:rFonts w:eastAsia="Times New Roman" w:cs="Times New Roman"/>
      <w:bCs/>
      <w:sz w:val="20"/>
      <w:szCs w:val="26"/>
      <w:lang w:eastAsia="pl-PL"/>
    </w:rPr>
  </w:style>
  <w:style w:type="paragraph" w:styleId="Spistreci1">
    <w:name w:val="toc 1"/>
    <w:basedOn w:val="Normalny"/>
    <w:next w:val="Normalny"/>
    <w:autoRedefine/>
    <w:semiHidden/>
    <w:unhideWhenUsed/>
    <w:rsid w:val="000941FF"/>
    <w:pPr>
      <w:tabs>
        <w:tab w:val="right" w:leader="dot" w:pos="9180"/>
      </w:tabs>
      <w:overflowPunct w:val="0"/>
      <w:autoSpaceDE w:val="0"/>
      <w:autoSpaceDN w:val="0"/>
      <w:adjustRightInd w:val="0"/>
      <w:spacing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24"/>
      <w:u w:val="single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941FF"/>
    <w:pPr>
      <w:tabs>
        <w:tab w:val="center" w:pos="4536"/>
        <w:tab w:val="right" w:pos="9072"/>
      </w:tabs>
      <w:spacing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0941FF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941FF"/>
    <w:pPr>
      <w:tabs>
        <w:tab w:val="center" w:pos="4536"/>
        <w:tab w:val="right" w:pos="9072"/>
      </w:tabs>
      <w:spacing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941FF"/>
    <w:rPr>
      <w:rFonts w:ascii="Calibri" w:eastAsia="Times New Roman" w:hAnsi="Calibri" w:cs="Times New Roman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0941FF"/>
    <w:pPr>
      <w:spacing w:line="240" w:lineRule="auto"/>
    </w:pPr>
    <w:rPr>
      <w:rFonts w:ascii="Times New Roman" w:eastAsia="Times New Roman" w:hAnsi="Times New Roman" w:cs="Times New Roman"/>
      <w:color w:val="0000FF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941FF"/>
    <w:rPr>
      <w:rFonts w:ascii="Times New Roman" w:eastAsia="Times New Roman" w:hAnsi="Times New Roman" w:cs="Times New Roman"/>
      <w:color w:val="0000FF"/>
      <w:sz w:val="20"/>
      <w:szCs w:val="20"/>
      <w:lang w:eastAsia="pl-PL"/>
    </w:rPr>
  </w:style>
  <w:style w:type="paragraph" w:customStyle="1" w:styleId="tytudospisu">
    <w:name w:val="tytuł do spisu"/>
    <w:basedOn w:val="Nagwek1"/>
    <w:rsid w:val="000941FF"/>
  </w:style>
  <w:style w:type="paragraph" w:customStyle="1" w:styleId="Standardowytekst">
    <w:name w:val="Standardowy.tekst"/>
    <w:autoRedefine/>
    <w:rsid w:val="000941FF"/>
    <w:pPr>
      <w:tabs>
        <w:tab w:val="right" w:leader="dot" w:pos="9000"/>
      </w:tabs>
      <w:overflowPunct w:val="0"/>
      <w:autoSpaceDE w:val="0"/>
      <w:autoSpaceDN w:val="0"/>
      <w:adjustRightInd w:val="0"/>
      <w:spacing w:after="0" w:line="240" w:lineRule="auto"/>
      <w:ind w:right="-110"/>
      <w:jc w:val="both"/>
    </w:pPr>
    <w:rPr>
      <w:rFonts w:ascii="Arial Narrow" w:eastAsia="Times New Roman" w:hAnsi="Arial Narrow" w:cs="Times New Roman"/>
      <w:b/>
      <w:position w:val="-26"/>
      <w:sz w:val="24"/>
      <w:szCs w:val="24"/>
      <w:lang w:eastAsia="pl-PL"/>
    </w:rPr>
  </w:style>
  <w:style w:type="paragraph" w:customStyle="1" w:styleId="tekstost">
    <w:name w:val="tekst ost"/>
    <w:basedOn w:val="Normalny"/>
    <w:rsid w:val="000941FF"/>
    <w:pPr>
      <w:overflowPunct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Styl3">
    <w:name w:val="Styl 3"/>
    <w:basedOn w:val="Standardowytekst"/>
    <w:rsid w:val="000941FF"/>
    <w:pPr>
      <w:overflowPunct/>
      <w:autoSpaceDE/>
      <w:autoSpaceDN/>
      <w:adjustRightInd/>
      <w:spacing w:line="360" w:lineRule="auto"/>
      <w:ind w:right="0"/>
    </w:pPr>
    <w:rPr>
      <w:b w:val="0"/>
      <w:bCs/>
      <w:color w:val="FF0000"/>
      <w:position w:val="0"/>
      <w:sz w:val="22"/>
      <w:szCs w:val="20"/>
    </w:rPr>
  </w:style>
  <w:style w:type="paragraph" w:customStyle="1" w:styleId="Subhead">
    <w:name w:val="Subhead"/>
    <w:rsid w:val="000941FF"/>
    <w:pPr>
      <w:overflowPunct w:val="0"/>
      <w:autoSpaceDE w:val="0"/>
      <w:autoSpaceDN w:val="0"/>
      <w:adjustRightInd w:val="0"/>
      <w:spacing w:after="288" w:line="240" w:lineRule="auto"/>
      <w:ind w:left="567" w:hanging="567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0941F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4Znak">
    <w:name w:val="Nagłówek 4 Znak"/>
    <w:basedOn w:val="Domylnaczcionkaakapitu"/>
    <w:link w:val="Nagwek4"/>
    <w:uiPriority w:val="9"/>
    <w:rsid w:val="001828D1"/>
    <w:rPr>
      <w:rFonts w:cs="Times-Roman"/>
      <w:sz w:val="20"/>
    </w:rPr>
  </w:style>
  <w:style w:type="character" w:customStyle="1" w:styleId="Nagwek5Znak">
    <w:name w:val="Nagłówek 5 Znak"/>
    <w:basedOn w:val="Domylnaczcionkaakapitu"/>
    <w:link w:val="Nagwek5"/>
    <w:uiPriority w:val="9"/>
    <w:rsid w:val="0043727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727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727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727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727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StylIwony">
    <w:name w:val="Styl Iwony"/>
    <w:basedOn w:val="Normalny"/>
    <w:rsid w:val="00652279"/>
    <w:pPr>
      <w:tabs>
        <w:tab w:val="clear" w:pos="284"/>
      </w:tabs>
      <w:overflowPunct w:val="0"/>
      <w:autoSpaceDE w:val="0"/>
      <w:autoSpaceDN w:val="0"/>
      <w:adjustRightInd w:val="0"/>
      <w:spacing w:before="120" w:after="120" w:line="240" w:lineRule="auto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22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2279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5A142A"/>
    <w:rPr>
      <w:color w:val="808080"/>
    </w:rPr>
  </w:style>
  <w:style w:type="paragraph" w:customStyle="1" w:styleId="Nagwek31">
    <w:name w:val="Nagłówek 31"/>
    <w:basedOn w:val="Normalny"/>
    <w:uiPriority w:val="1"/>
    <w:qFormat/>
    <w:rsid w:val="007B3B52"/>
    <w:pPr>
      <w:widowControl w:val="0"/>
      <w:tabs>
        <w:tab w:val="clear" w:pos="284"/>
      </w:tabs>
      <w:spacing w:line="240" w:lineRule="auto"/>
      <w:ind w:left="841" w:hanging="705"/>
      <w:outlineLvl w:val="3"/>
    </w:pPr>
    <w:rPr>
      <w:rFonts w:ascii="Calibri" w:eastAsia="Calibri" w:hAnsi="Calibri" w:cs="Calibri"/>
      <w:b/>
      <w:bCs/>
      <w:lang w:val="en-US"/>
    </w:rPr>
  </w:style>
  <w:style w:type="paragraph" w:customStyle="1" w:styleId="Default">
    <w:name w:val="Default"/>
    <w:rsid w:val="0024794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ezodstpw">
    <w:name w:val="No Spacing"/>
    <w:uiPriority w:val="1"/>
    <w:qFormat/>
    <w:rsid w:val="00F717DC"/>
    <w:pPr>
      <w:tabs>
        <w:tab w:val="left" w:pos="284"/>
      </w:tabs>
      <w:spacing w:after="0" w:line="240" w:lineRule="auto"/>
      <w:jc w:val="both"/>
    </w:pPr>
    <w:rPr>
      <w:rFonts w:cs="Times-Roman"/>
    </w:rPr>
  </w:style>
  <w:style w:type="character" w:styleId="Hipercze">
    <w:name w:val="Hyperlink"/>
    <w:basedOn w:val="Domylnaczcionkaakapitu"/>
    <w:uiPriority w:val="99"/>
    <w:unhideWhenUsed/>
    <w:rsid w:val="0065729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17A70"/>
    <w:pPr>
      <w:tabs>
        <w:tab w:val="left" w:pos="284"/>
      </w:tabs>
      <w:spacing w:after="0" w:line="336" w:lineRule="auto"/>
      <w:jc w:val="both"/>
    </w:pPr>
    <w:rPr>
      <w:rFonts w:cs="Times-Roman"/>
    </w:rPr>
  </w:style>
  <w:style w:type="paragraph" w:styleId="Nagwek1">
    <w:name w:val="heading 1"/>
    <w:basedOn w:val="Normalny"/>
    <w:next w:val="Normalny"/>
    <w:link w:val="Nagwek1Znak"/>
    <w:qFormat/>
    <w:rsid w:val="0094687A"/>
    <w:pPr>
      <w:keepNext/>
      <w:widowControl w:val="0"/>
      <w:numPr>
        <w:numId w:val="1"/>
      </w:numPr>
      <w:autoSpaceDE w:val="0"/>
      <w:autoSpaceDN w:val="0"/>
      <w:adjustRightInd w:val="0"/>
      <w:spacing w:before="240"/>
      <w:ind w:left="357" w:right="3402" w:hanging="357"/>
      <w:outlineLvl w:val="0"/>
    </w:pPr>
    <w:rPr>
      <w:rFonts w:eastAsia="Times New Roman" w:cs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4D4A4B"/>
    <w:pPr>
      <w:keepNext/>
      <w:numPr>
        <w:ilvl w:val="1"/>
        <w:numId w:val="1"/>
      </w:numPr>
      <w:spacing w:before="120" w:after="60"/>
      <w:ind w:left="715" w:hanging="505"/>
      <w:outlineLvl w:val="1"/>
    </w:pPr>
    <w:rPr>
      <w:rFonts w:eastAsia="TimesNewRoman,Bold" w:cs="TimesNewRoman,Bold"/>
      <w:b/>
      <w:bCs/>
      <w:iCs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7E2642"/>
    <w:pPr>
      <w:keepNext/>
      <w:numPr>
        <w:ilvl w:val="2"/>
        <w:numId w:val="1"/>
      </w:numPr>
      <w:tabs>
        <w:tab w:val="clear" w:pos="284"/>
      </w:tabs>
      <w:spacing w:after="60" w:line="300" w:lineRule="auto"/>
      <w:outlineLvl w:val="2"/>
    </w:pPr>
    <w:rPr>
      <w:rFonts w:eastAsia="Times New Roman" w:cs="Times New Roman"/>
      <w:bCs/>
      <w:szCs w:val="26"/>
      <w:lang w:eastAsia="pl-PL"/>
    </w:rPr>
  </w:style>
  <w:style w:type="paragraph" w:styleId="Nagwek4">
    <w:name w:val="heading 4"/>
    <w:basedOn w:val="Akapitzlist"/>
    <w:next w:val="Normalny"/>
    <w:link w:val="Nagwek4Znak"/>
    <w:uiPriority w:val="9"/>
    <w:unhideWhenUsed/>
    <w:qFormat/>
    <w:rsid w:val="001828D1"/>
    <w:pPr>
      <w:numPr>
        <w:ilvl w:val="3"/>
        <w:numId w:val="1"/>
      </w:numPr>
      <w:spacing w:before="120" w:after="60"/>
      <w:ind w:left="1145"/>
      <w:outlineLvl w:val="3"/>
    </w:p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43727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727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727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72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727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5EF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94687A"/>
    <w:rPr>
      <w:rFonts w:eastAsia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4D4A4B"/>
    <w:rPr>
      <w:rFonts w:eastAsia="TimesNewRoman,Bold" w:cs="TimesNewRoman,Bold"/>
      <w:b/>
      <w:bCs/>
      <w:iCs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7E2642"/>
    <w:rPr>
      <w:rFonts w:eastAsia="Times New Roman" w:cs="Times New Roman"/>
      <w:bCs/>
      <w:szCs w:val="26"/>
      <w:lang w:eastAsia="pl-PL"/>
    </w:rPr>
  </w:style>
  <w:style w:type="paragraph" w:styleId="Spistreci1">
    <w:name w:val="toc 1"/>
    <w:basedOn w:val="Normalny"/>
    <w:next w:val="Normalny"/>
    <w:autoRedefine/>
    <w:semiHidden/>
    <w:unhideWhenUsed/>
    <w:rsid w:val="000941FF"/>
    <w:pPr>
      <w:tabs>
        <w:tab w:val="right" w:leader="dot" w:pos="9180"/>
      </w:tabs>
      <w:overflowPunct w:val="0"/>
      <w:autoSpaceDE w:val="0"/>
      <w:autoSpaceDN w:val="0"/>
      <w:adjustRightInd w:val="0"/>
      <w:spacing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24"/>
      <w:u w:val="single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0941FF"/>
    <w:pPr>
      <w:tabs>
        <w:tab w:val="center" w:pos="4536"/>
        <w:tab w:val="right" w:pos="9072"/>
      </w:tabs>
      <w:spacing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0941FF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0941FF"/>
    <w:pPr>
      <w:tabs>
        <w:tab w:val="center" w:pos="4536"/>
        <w:tab w:val="right" w:pos="9072"/>
      </w:tabs>
      <w:spacing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0941FF"/>
    <w:rPr>
      <w:rFonts w:ascii="Calibri" w:eastAsia="Times New Roman" w:hAnsi="Calibri" w:cs="Times New Roman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0941FF"/>
    <w:pPr>
      <w:spacing w:line="240" w:lineRule="auto"/>
    </w:pPr>
    <w:rPr>
      <w:rFonts w:ascii="Times New Roman" w:eastAsia="Times New Roman" w:hAnsi="Times New Roman" w:cs="Times New Roman"/>
      <w:color w:val="0000FF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941FF"/>
    <w:rPr>
      <w:rFonts w:ascii="Times New Roman" w:eastAsia="Times New Roman" w:hAnsi="Times New Roman" w:cs="Times New Roman"/>
      <w:color w:val="0000FF"/>
      <w:sz w:val="20"/>
      <w:szCs w:val="20"/>
      <w:lang w:eastAsia="pl-PL"/>
    </w:rPr>
  </w:style>
  <w:style w:type="paragraph" w:customStyle="1" w:styleId="tytudospisu">
    <w:name w:val="tytuł do spisu"/>
    <w:basedOn w:val="Nagwek1"/>
    <w:rsid w:val="000941FF"/>
  </w:style>
  <w:style w:type="paragraph" w:customStyle="1" w:styleId="Standardowytekst">
    <w:name w:val="Standardowy.tekst"/>
    <w:autoRedefine/>
    <w:rsid w:val="000941FF"/>
    <w:pPr>
      <w:tabs>
        <w:tab w:val="right" w:leader="dot" w:pos="9000"/>
      </w:tabs>
      <w:overflowPunct w:val="0"/>
      <w:autoSpaceDE w:val="0"/>
      <w:autoSpaceDN w:val="0"/>
      <w:adjustRightInd w:val="0"/>
      <w:spacing w:after="0" w:line="240" w:lineRule="auto"/>
      <w:ind w:right="-110"/>
      <w:jc w:val="both"/>
    </w:pPr>
    <w:rPr>
      <w:rFonts w:ascii="Arial Narrow" w:eastAsia="Times New Roman" w:hAnsi="Arial Narrow" w:cs="Times New Roman"/>
      <w:b/>
      <w:position w:val="-26"/>
      <w:sz w:val="24"/>
      <w:szCs w:val="24"/>
      <w:lang w:eastAsia="pl-PL"/>
    </w:rPr>
  </w:style>
  <w:style w:type="paragraph" w:customStyle="1" w:styleId="tekstost">
    <w:name w:val="tekst ost"/>
    <w:basedOn w:val="Normalny"/>
    <w:rsid w:val="000941FF"/>
    <w:pPr>
      <w:overflowPunct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3">
    <w:name w:val="Styl 3"/>
    <w:basedOn w:val="Standardowytekst"/>
    <w:rsid w:val="000941FF"/>
    <w:pPr>
      <w:overflowPunct/>
      <w:autoSpaceDE/>
      <w:autoSpaceDN/>
      <w:adjustRightInd/>
      <w:spacing w:line="360" w:lineRule="auto"/>
      <w:ind w:right="0"/>
    </w:pPr>
    <w:rPr>
      <w:b w:val="0"/>
      <w:bCs/>
      <w:color w:val="FF0000"/>
      <w:position w:val="0"/>
      <w:sz w:val="22"/>
      <w:szCs w:val="20"/>
    </w:rPr>
  </w:style>
  <w:style w:type="paragraph" w:customStyle="1" w:styleId="Subhead">
    <w:name w:val="Subhead"/>
    <w:rsid w:val="000941FF"/>
    <w:pPr>
      <w:overflowPunct w:val="0"/>
      <w:autoSpaceDE w:val="0"/>
      <w:autoSpaceDN w:val="0"/>
      <w:adjustRightInd w:val="0"/>
      <w:spacing w:after="288" w:line="240" w:lineRule="auto"/>
      <w:ind w:left="567" w:hanging="567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0941F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4Znak">
    <w:name w:val="Nagłówek 4 Znak"/>
    <w:basedOn w:val="Domylnaczcionkaakapitu"/>
    <w:link w:val="Nagwek4"/>
    <w:uiPriority w:val="9"/>
    <w:rsid w:val="001828D1"/>
    <w:rPr>
      <w:rFonts w:cs="Times-Roman"/>
    </w:rPr>
  </w:style>
  <w:style w:type="character" w:customStyle="1" w:styleId="Nagwek5Znak">
    <w:name w:val="Nagłówek 5 Znak"/>
    <w:basedOn w:val="Domylnaczcionkaakapitu"/>
    <w:link w:val="Nagwek5"/>
    <w:uiPriority w:val="9"/>
    <w:rsid w:val="0043727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727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727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727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727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StylIwony">
    <w:name w:val="Styl Iwony"/>
    <w:basedOn w:val="Normalny"/>
    <w:rsid w:val="00652279"/>
    <w:pPr>
      <w:tabs>
        <w:tab w:val="clear" w:pos="284"/>
      </w:tabs>
      <w:overflowPunct w:val="0"/>
      <w:autoSpaceDE w:val="0"/>
      <w:autoSpaceDN w:val="0"/>
      <w:adjustRightInd w:val="0"/>
      <w:spacing w:before="120" w:after="120" w:line="240" w:lineRule="auto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22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2279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5A142A"/>
    <w:rPr>
      <w:color w:val="808080"/>
    </w:rPr>
  </w:style>
  <w:style w:type="paragraph" w:customStyle="1" w:styleId="Nagwek31">
    <w:name w:val="Nagłówek 31"/>
    <w:basedOn w:val="Normalny"/>
    <w:uiPriority w:val="1"/>
    <w:qFormat/>
    <w:rsid w:val="007B3B52"/>
    <w:pPr>
      <w:widowControl w:val="0"/>
      <w:tabs>
        <w:tab w:val="clear" w:pos="284"/>
      </w:tabs>
      <w:spacing w:line="240" w:lineRule="auto"/>
      <w:ind w:left="841" w:hanging="705"/>
      <w:outlineLvl w:val="3"/>
    </w:pPr>
    <w:rPr>
      <w:rFonts w:ascii="Calibri" w:eastAsia="Calibri" w:hAnsi="Calibri" w:cs="Calibri"/>
      <w:b/>
      <w:bCs/>
      <w:lang w:val="en-US"/>
    </w:rPr>
  </w:style>
  <w:style w:type="paragraph" w:customStyle="1" w:styleId="Default">
    <w:name w:val="Default"/>
    <w:rsid w:val="0024794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ezodstpw">
    <w:name w:val="No Spacing"/>
    <w:uiPriority w:val="1"/>
    <w:qFormat/>
    <w:rsid w:val="00F717DC"/>
    <w:pPr>
      <w:tabs>
        <w:tab w:val="left" w:pos="284"/>
      </w:tabs>
      <w:spacing w:after="0" w:line="240" w:lineRule="auto"/>
      <w:jc w:val="both"/>
    </w:pPr>
    <w:rPr>
      <w:rFonts w:cs="Times-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biuro@bpb.net.pl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biuro.bpb@onet.eu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8</Pages>
  <Words>1869</Words>
  <Characters>11217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Maciek</dc:creator>
  <cp:lastModifiedBy>BPB</cp:lastModifiedBy>
  <cp:revision>3</cp:revision>
  <cp:lastPrinted>2017-03-31T11:13:00Z</cp:lastPrinted>
  <dcterms:created xsi:type="dcterms:W3CDTF">2017-03-31T10:17:00Z</dcterms:created>
  <dcterms:modified xsi:type="dcterms:W3CDTF">2017-03-31T11:13:00Z</dcterms:modified>
</cp:coreProperties>
</file>